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17" w:rsidRPr="00270D09" w:rsidRDefault="00270D09" w:rsidP="00270D09">
      <w:pPr>
        <w:pStyle w:val="TitlePage2ndtier"/>
        <w:spacing w:before="360" w:after="360"/>
        <w:rPr>
          <w:rFonts w:ascii="Times New Roman" w:hAnsi="Times New Roman"/>
          <w:sz w:val="24"/>
          <w:szCs w:val="24"/>
        </w:rPr>
      </w:pPr>
      <w:bookmarkStart w:id="0" w:name="_Toc421905501"/>
      <w:bookmarkStart w:id="1" w:name="_Toc421908595"/>
      <w:bookmarkStart w:id="2" w:name="_Toc421909570"/>
      <w:r w:rsidRPr="00270D09">
        <w:rPr>
          <w:rFonts w:ascii="Times New Roman" w:hAnsi="Times New Roman"/>
          <w:sz w:val="24"/>
          <w:szCs w:val="24"/>
        </w:rPr>
        <w:t>Hon</w:t>
      </w:r>
      <w:r w:rsidR="00D13A17" w:rsidRPr="00270D09">
        <w:rPr>
          <w:rFonts w:ascii="Times New Roman" w:hAnsi="Times New Roman"/>
          <w:sz w:val="24"/>
          <w:szCs w:val="24"/>
        </w:rPr>
        <w:t>. Mark Brown</w:t>
      </w:r>
      <w:bookmarkEnd w:id="0"/>
      <w:bookmarkEnd w:id="1"/>
      <w:bookmarkEnd w:id="2"/>
    </w:p>
    <w:p w:rsidR="00D13A17" w:rsidRPr="00270D09" w:rsidRDefault="00D13A17" w:rsidP="00270D09">
      <w:pPr>
        <w:pStyle w:val="01APlaceholder"/>
        <w:rPr>
          <w:color w:val="FF0000"/>
        </w:rPr>
      </w:pPr>
    </w:p>
    <w:p w:rsidR="00D13A17" w:rsidRPr="00270D09" w:rsidRDefault="00D13A17" w:rsidP="00270D09">
      <w:pPr>
        <w:pStyle w:val="TitlePage2ndtier"/>
        <w:spacing w:after="360"/>
        <w:rPr>
          <w:rFonts w:ascii="Times New Roman" w:hAnsi="Times New Roman"/>
          <w:sz w:val="32"/>
          <w:szCs w:val="32"/>
        </w:rPr>
      </w:pPr>
      <w:bookmarkStart w:id="3" w:name="_Toc421905502"/>
      <w:bookmarkStart w:id="4" w:name="_Toc421908596"/>
      <w:bookmarkStart w:id="5" w:name="_Toc421909571"/>
      <w:r w:rsidRPr="00270D09">
        <w:rPr>
          <w:rFonts w:ascii="Times New Roman" w:hAnsi="Times New Roman"/>
          <w:sz w:val="32"/>
          <w:szCs w:val="32"/>
        </w:rPr>
        <w:t xml:space="preserve">Appropriation Bill </w:t>
      </w:r>
      <w:bookmarkEnd w:id="3"/>
      <w:bookmarkEnd w:id="4"/>
      <w:bookmarkEnd w:id="5"/>
      <w:r w:rsidRPr="00270D09">
        <w:rPr>
          <w:rFonts w:ascii="Times New Roman" w:hAnsi="Times New Roman"/>
          <w:sz w:val="32"/>
          <w:szCs w:val="32"/>
        </w:rPr>
        <w:t>2022</w:t>
      </w:r>
    </w:p>
    <w:p w:rsidR="00D13A17" w:rsidRPr="00270D09" w:rsidRDefault="00D13A17" w:rsidP="00270D09">
      <w:pPr>
        <w:pStyle w:val="Nonindexedtitleleft"/>
      </w:pPr>
      <w:r w:rsidRPr="00270D09">
        <w:t>Contents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8342"/>
        <w:gridCol w:w="567"/>
      </w:tblGrid>
      <w:tr w:rsidR="00D13A17" w:rsidRPr="00270D09" w:rsidTr="00D13A17">
        <w:trPr>
          <w:trHeight w:val="287"/>
        </w:trPr>
        <w:tc>
          <w:tcPr>
            <w:tcW w:w="589"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1</w:t>
            </w:r>
          </w:p>
        </w:tc>
        <w:tc>
          <w:tcPr>
            <w:tcW w:w="8342"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Title</w:t>
            </w:r>
          </w:p>
        </w:tc>
        <w:tc>
          <w:tcPr>
            <w:tcW w:w="567" w:type="dxa"/>
          </w:tcPr>
          <w:p w:rsidR="00D13A17" w:rsidRPr="00270D09" w:rsidRDefault="00270D09" w:rsidP="00D13A17">
            <w:pPr>
              <w:spacing w:after="0"/>
              <w:rPr>
                <w:rFonts w:ascii="Times New Roman" w:hAnsi="Times New Roman"/>
                <w:sz w:val="24"/>
              </w:rPr>
            </w:pPr>
            <w:r>
              <w:rPr>
                <w:rFonts w:ascii="Times New Roman" w:hAnsi="Times New Roman"/>
                <w:webHidden/>
                <w:sz w:val="24"/>
              </w:rPr>
              <w:t>1</w:t>
            </w:r>
          </w:p>
        </w:tc>
      </w:tr>
      <w:tr w:rsidR="00D13A17" w:rsidRPr="00270D09" w:rsidTr="00D13A17">
        <w:trPr>
          <w:trHeight w:val="301"/>
        </w:trPr>
        <w:tc>
          <w:tcPr>
            <w:tcW w:w="589"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2</w:t>
            </w:r>
          </w:p>
        </w:tc>
        <w:tc>
          <w:tcPr>
            <w:tcW w:w="8342"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Application</w:t>
            </w:r>
          </w:p>
        </w:tc>
        <w:tc>
          <w:tcPr>
            <w:tcW w:w="567" w:type="dxa"/>
          </w:tcPr>
          <w:p w:rsidR="00D13A17" w:rsidRPr="00270D09" w:rsidRDefault="00270D09" w:rsidP="00D13A17">
            <w:pPr>
              <w:spacing w:after="0"/>
              <w:rPr>
                <w:rFonts w:ascii="Times New Roman" w:hAnsi="Times New Roman"/>
                <w:webHidden/>
                <w:sz w:val="24"/>
              </w:rPr>
            </w:pPr>
            <w:r>
              <w:rPr>
                <w:rFonts w:ascii="Times New Roman" w:hAnsi="Times New Roman"/>
                <w:webHidden/>
                <w:sz w:val="24"/>
              </w:rPr>
              <w:t>1</w:t>
            </w:r>
          </w:p>
        </w:tc>
      </w:tr>
      <w:tr w:rsidR="00D13A17" w:rsidRPr="00270D09" w:rsidTr="00D13A17">
        <w:trPr>
          <w:trHeight w:val="287"/>
        </w:trPr>
        <w:tc>
          <w:tcPr>
            <w:tcW w:w="589"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3</w:t>
            </w:r>
          </w:p>
        </w:tc>
        <w:tc>
          <w:tcPr>
            <w:tcW w:w="8342" w:type="dxa"/>
          </w:tcPr>
          <w:p w:rsidR="00D13A17" w:rsidRPr="00270D09" w:rsidRDefault="00D13A17" w:rsidP="00D13A17">
            <w:pPr>
              <w:spacing w:after="0"/>
              <w:rPr>
                <w:rFonts w:ascii="Times New Roman" w:hAnsi="Times New Roman"/>
                <w:sz w:val="24"/>
              </w:rPr>
            </w:pPr>
            <w:r w:rsidRPr="00270D09">
              <w:rPr>
                <w:rFonts w:ascii="Times New Roman" w:hAnsi="Times New Roman"/>
                <w:sz w:val="24"/>
              </w:rPr>
              <w:t>Grant and appropriation out of the Cook Islands Government Account</w:t>
            </w:r>
          </w:p>
        </w:tc>
        <w:tc>
          <w:tcPr>
            <w:tcW w:w="567" w:type="dxa"/>
          </w:tcPr>
          <w:p w:rsidR="00D13A17" w:rsidRPr="00270D09" w:rsidRDefault="00D2786C" w:rsidP="00270D09">
            <w:pPr>
              <w:spacing w:after="0"/>
              <w:rPr>
                <w:rFonts w:ascii="Times New Roman" w:hAnsi="Times New Roman"/>
                <w:webHidden/>
                <w:sz w:val="24"/>
              </w:rPr>
            </w:pPr>
            <w:hyperlink w:anchor="_Toc401750348" w:history="1">
              <w:r w:rsidR="00270D09">
                <w:rPr>
                  <w:rFonts w:ascii="Times New Roman" w:hAnsi="Times New Roman"/>
                  <w:webHidden/>
                  <w:sz w:val="24"/>
                </w:rPr>
                <w:t>2</w:t>
              </w:r>
            </w:hyperlink>
          </w:p>
        </w:tc>
      </w:tr>
    </w:tbl>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1</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Agency Budget Appropriations</w:t>
      </w:r>
    </w:p>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2</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Payments on Behalf of</w:t>
      </w:r>
      <w:r w:rsidR="00A33752">
        <w:rPr>
          <w:rFonts w:ascii="Times New Roman" w:hAnsi="Times New Roman"/>
          <w:b/>
          <w:sz w:val="24"/>
        </w:rPr>
        <w:t xml:space="preserve"> the</w:t>
      </w:r>
      <w:r w:rsidRPr="00270D09">
        <w:rPr>
          <w:rFonts w:ascii="Times New Roman" w:hAnsi="Times New Roman"/>
          <w:b/>
          <w:sz w:val="24"/>
        </w:rPr>
        <w:t xml:space="preserve"> Crown (POBOC</w:t>
      </w:r>
      <w:r w:rsidR="00A33752">
        <w:rPr>
          <w:rFonts w:ascii="Times New Roman" w:hAnsi="Times New Roman"/>
          <w:b/>
          <w:sz w:val="24"/>
        </w:rPr>
        <w:t>s</w:t>
      </w:r>
      <w:r w:rsidRPr="00270D09">
        <w:rPr>
          <w:rFonts w:ascii="Times New Roman" w:hAnsi="Times New Roman"/>
          <w:b/>
          <w:sz w:val="24"/>
        </w:rPr>
        <w:t>)</w:t>
      </w:r>
    </w:p>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3</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Cook Islands Capital Spending</w:t>
      </w:r>
    </w:p>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4</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Official Development Assistance</w:t>
      </w:r>
    </w:p>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5a</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Other Expenses and Financing Transactions</w:t>
      </w:r>
    </w:p>
    <w:p w:rsidR="00270D09" w:rsidRDefault="00D13A17" w:rsidP="00270D09">
      <w:pPr>
        <w:spacing w:after="0"/>
        <w:jc w:val="center"/>
        <w:rPr>
          <w:rFonts w:ascii="Times New Roman" w:hAnsi="Times New Roman"/>
          <w:b/>
          <w:sz w:val="24"/>
        </w:rPr>
      </w:pPr>
      <w:r w:rsidRPr="00270D09">
        <w:rPr>
          <w:rFonts w:ascii="Times New Roman" w:hAnsi="Times New Roman"/>
          <w:b/>
          <w:sz w:val="24"/>
        </w:rPr>
        <w:t>Schedule 5b</w:t>
      </w:r>
    </w:p>
    <w:p w:rsidR="00D13A17" w:rsidRPr="00270D09" w:rsidRDefault="00D13A17" w:rsidP="00270D09">
      <w:pPr>
        <w:spacing w:after="0"/>
        <w:jc w:val="center"/>
        <w:rPr>
          <w:rFonts w:ascii="Times New Roman" w:hAnsi="Times New Roman"/>
          <w:b/>
          <w:sz w:val="24"/>
        </w:rPr>
      </w:pPr>
      <w:r w:rsidRPr="00270D09">
        <w:rPr>
          <w:rFonts w:ascii="Times New Roman" w:hAnsi="Times New Roman"/>
          <w:b/>
          <w:sz w:val="24"/>
        </w:rPr>
        <w:t>Loan Repayment Fund (LRF) Appropriations</w:t>
      </w:r>
    </w:p>
    <w:p w:rsidR="00D13A17" w:rsidRPr="00270D09" w:rsidRDefault="00D13A17" w:rsidP="00270D09">
      <w:pPr>
        <w:spacing w:after="0"/>
        <w:jc w:val="center"/>
        <w:rPr>
          <w:rFonts w:ascii="Times New Roman" w:hAnsi="Times New Roman"/>
          <w:b/>
          <w:sz w:val="24"/>
        </w:rPr>
      </w:pPr>
      <w:bookmarkStart w:id="6" w:name="_Toc421905503"/>
      <w:bookmarkStart w:id="7" w:name="_Toc421908597"/>
      <w:bookmarkStart w:id="8" w:name="_Toc421909572"/>
      <w:r w:rsidRPr="00270D09">
        <w:rPr>
          <w:rFonts w:ascii="Times New Roman" w:hAnsi="Times New Roman"/>
          <w:b/>
          <w:sz w:val="24"/>
        </w:rPr>
        <w:t>Summary</w:t>
      </w:r>
      <w:bookmarkEnd w:id="6"/>
      <w:bookmarkEnd w:id="7"/>
      <w:bookmarkEnd w:id="8"/>
    </w:p>
    <w:p w:rsidR="00D13A17" w:rsidRPr="00270D09" w:rsidRDefault="00D2786C" w:rsidP="00D13A17">
      <w:pPr>
        <w:pStyle w:val="04-TOCEnd"/>
        <w:jc w:val="center"/>
        <w:rPr>
          <w:color w:val="FF0000"/>
          <w:szCs w:val="22"/>
        </w:rPr>
      </w:pPr>
      <w:r>
        <w:rPr>
          <w:color w:val="FF0000"/>
          <w:szCs w:val="22"/>
        </w:rPr>
        <w:pict>
          <v:rect id="_x0000_i1025" style="width:152.25pt;height:1pt" o:hrpct="0" o:hralign="center" o:hrstd="t" o:hrnoshade="t" o:hr="t" fillcolor="black" stroked="f"/>
        </w:pict>
      </w:r>
    </w:p>
    <w:p w:rsidR="00D13A17" w:rsidRPr="00270D09" w:rsidRDefault="00D13A17" w:rsidP="00270D09">
      <w:pPr>
        <w:spacing w:before="240" w:after="0"/>
        <w:rPr>
          <w:rFonts w:ascii="Times New Roman" w:hAnsi="Times New Roman"/>
          <w:b/>
          <w:sz w:val="24"/>
        </w:rPr>
      </w:pPr>
      <w:r w:rsidRPr="00270D09">
        <w:rPr>
          <w:rFonts w:ascii="Times New Roman" w:hAnsi="Times New Roman"/>
          <w:b/>
          <w:sz w:val="24"/>
        </w:rPr>
        <w:t>An Act to appropriate certain sums of money out of the Cook Islands Government Account to the services of the year ending on the thirtieth day of June 202</w:t>
      </w:r>
      <w:r w:rsidR="00270D09">
        <w:rPr>
          <w:rFonts w:ascii="Times New Roman" w:hAnsi="Times New Roman"/>
          <w:b/>
          <w:sz w:val="24"/>
        </w:rPr>
        <w:t>3</w:t>
      </w:r>
      <w:r w:rsidRPr="00270D09">
        <w:rPr>
          <w:rFonts w:ascii="Times New Roman" w:hAnsi="Times New Roman"/>
          <w:b/>
          <w:sz w:val="24"/>
        </w:rPr>
        <w:t xml:space="preserve"> and to appropriate the supplies granted in this period</w:t>
      </w:r>
    </w:p>
    <w:p w:rsidR="00D13A17" w:rsidRPr="00270D09" w:rsidRDefault="00D13A17" w:rsidP="00270D09">
      <w:pPr>
        <w:spacing w:before="240" w:after="360"/>
        <w:rPr>
          <w:rFonts w:ascii="Times New Roman" w:hAnsi="Times New Roman"/>
          <w:sz w:val="24"/>
          <w:szCs w:val="24"/>
          <w:lang w:val="en-NZ"/>
        </w:rPr>
      </w:pPr>
      <w:r w:rsidRPr="00270D09">
        <w:rPr>
          <w:rFonts w:ascii="Times New Roman" w:hAnsi="Times New Roman"/>
          <w:b/>
          <w:sz w:val="24"/>
          <w:szCs w:val="24"/>
          <w:lang w:val="en-NZ"/>
        </w:rPr>
        <w:t>MOST GRACIOUS SOVEREIGN:</w:t>
      </w:r>
      <w:r w:rsidRPr="00270D09">
        <w:rPr>
          <w:rFonts w:ascii="Times New Roman" w:hAnsi="Times New Roman"/>
          <w:sz w:val="24"/>
          <w:szCs w:val="24"/>
          <w:lang w:val="en-NZ"/>
        </w:rPr>
        <w:t xml:space="preserve">  We, Your Majesty’s most dutiful and loyal subjects, the Parliament of the Cook Islands, towards making good the supply which we have cheerfully granted to Your Majesty in this year, have resolved to grant Your Majesty the sum specified in this Act and humbly ask Your Majesty to assent to the sum.  And </w:t>
      </w:r>
      <w:r w:rsidR="00270D09">
        <w:rPr>
          <w:rFonts w:ascii="Times New Roman" w:hAnsi="Times New Roman"/>
          <w:sz w:val="24"/>
          <w:szCs w:val="24"/>
          <w:lang w:val="en-NZ"/>
        </w:rPr>
        <w:t xml:space="preserve">be it enacted by </w:t>
      </w:r>
      <w:r w:rsidRPr="00270D09">
        <w:rPr>
          <w:rFonts w:ascii="Times New Roman" w:hAnsi="Times New Roman"/>
          <w:sz w:val="24"/>
          <w:szCs w:val="24"/>
          <w:lang w:val="en-NZ"/>
        </w:rPr>
        <w:t>the Parliament of the Cook Islands</w:t>
      </w:r>
      <w:r w:rsidR="00A35E97">
        <w:rPr>
          <w:rFonts w:ascii="Times New Roman" w:hAnsi="Times New Roman"/>
          <w:sz w:val="24"/>
          <w:szCs w:val="24"/>
          <w:lang w:val="en-NZ"/>
        </w:rPr>
        <w:t xml:space="preserve"> in Session assembled, and by the authority of the same,</w:t>
      </w:r>
      <w:r w:rsidRPr="00270D09">
        <w:rPr>
          <w:rFonts w:ascii="Times New Roman" w:hAnsi="Times New Roman"/>
          <w:sz w:val="24"/>
          <w:szCs w:val="24"/>
          <w:lang w:val="en-NZ"/>
        </w:rPr>
        <w:t xml:space="preserve"> as follows</w:t>
      </w:r>
      <w:r w:rsidRPr="00270D09">
        <w:rPr>
          <w:rFonts w:ascii="Times New Roman" w:hAnsi="Times New Roman"/>
          <w:sz w:val="24"/>
          <w:szCs w:val="24"/>
        </w:rPr>
        <w:t>—</w:t>
      </w:r>
    </w:p>
    <w:p w:rsidR="00D13A17" w:rsidRPr="00270D09" w:rsidRDefault="00D13A17" w:rsidP="00A35E97">
      <w:pPr>
        <w:pStyle w:val="AppBill-numberedsection"/>
        <w:spacing w:before="240"/>
        <w:rPr>
          <w:sz w:val="24"/>
        </w:rPr>
      </w:pPr>
      <w:bookmarkStart w:id="9" w:name="_Toc401750346"/>
      <w:bookmarkStart w:id="10" w:name="_Toc421905504"/>
      <w:bookmarkStart w:id="11" w:name="_Toc421908598"/>
      <w:bookmarkStart w:id="12" w:name="_Toc421909573"/>
      <w:r w:rsidRPr="00270D09">
        <w:rPr>
          <w:sz w:val="24"/>
        </w:rPr>
        <w:t>Title</w:t>
      </w:r>
      <w:bookmarkStart w:id="13" w:name="_GoBack"/>
      <w:bookmarkEnd w:id="9"/>
      <w:bookmarkEnd w:id="10"/>
      <w:bookmarkEnd w:id="11"/>
      <w:bookmarkEnd w:id="12"/>
      <w:bookmarkEnd w:id="13"/>
    </w:p>
    <w:p w:rsidR="00D13A17" w:rsidRPr="00270D09" w:rsidRDefault="00D13A17" w:rsidP="00D13A17">
      <w:pPr>
        <w:ind w:firstLine="720"/>
        <w:rPr>
          <w:rFonts w:ascii="Times New Roman" w:hAnsi="Times New Roman"/>
          <w:sz w:val="24"/>
          <w:szCs w:val="24"/>
        </w:rPr>
      </w:pPr>
      <w:r w:rsidRPr="00270D09">
        <w:rPr>
          <w:rFonts w:ascii="Times New Roman" w:hAnsi="Times New Roman"/>
          <w:sz w:val="24"/>
          <w:szCs w:val="24"/>
        </w:rPr>
        <w:t xml:space="preserve">This Act is the Appropriation Act 2022. </w:t>
      </w:r>
    </w:p>
    <w:p w:rsidR="00D13A17" w:rsidRPr="00270D09" w:rsidRDefault="00D13A17" w:rsidP="00A35E97">
      <w:pPr>
        <w:pStyle w:val="AppBill-numberedsection"/>
        <w:spacing w:before="240"/>
        <w:rPr>
          <w:sz w:val="24"/>
        </w:rPr>
      </w:pPr>
      <w:bookmarkStart w:id="14" w:name="_Toc401750347"/>
      <w:bookmarkStart w:id="15" w:name="_Toc421905505"/>
      <w:bookmarkStart w:id="16" w:name="_Toc421908599"/>
      <w:bookmarkStart w:id="17" w:name="_Toc421909574"/>
      <w:r w:rsidRPr="00270D09">
        <w:rPr>
          <w:sz w:val="24"/>
        </w:rPr>
        <w:t>Application</w:t>
      </w:r>
      <w:bookmarkEnd w:id="14"/>
      <w:bookmarkEnd w:id="15"/>
      <w:bookmarkEnd w:id="16"/>
      <w:bookmarkEnd w:id="17"/>
    </w:p>
    <w:p w:rsidR="00D13A17" w:rsidRPr="00270D09" w:rsidRDefault="00D13A17" w:rsidP="00D13A17">
      <w:pPr>
        <w:ind w:firstLine="720"/>
        <w:rPr>
          <w:rFonts w:ascii="Times New Roman" w:hAnsi="Times New Roman"/>
          <w:sz w:val="24"/>
          <w:szCs w:val="24"/>
        </w:rPr>
      </w:pPr>
      <w:r w:rsidRPr="00270D09">
        <w:rPr>
          <w:rFonts w:ascii="Times New Roman" w:hAnsi="Times New Roman"/>
          <w:sz w:val="24"/>
          <w:szCs w:val="24"/>
        </w:rPr>
        <w:t>This Act applies to the year ending on the thirtieth day of June 2023 (“the year”).</w:t>
      </w:r>
    </w:p>
    <w:p w:rsidR="00A35E97" w:rsidRDefault="00A35E97">
      <w:pPr>
        <w:keepLines w:val="0"/>
        <w:spacing w:after="160" w:line="259" w:lineRule="auto"/>
        <w:jc w:val="left"/>
        <w:rPr>
          <w:rFonts w:ascii="Times New Roman" w:eastAsia="Times New Roman" w:hAnsi="Times New Roman"/>
          <w:b/>
          <w:sz w:val="24"/>
          <w:szCs w:val="24"/>
          <w:lang w:val="en-NZ" w:eastAsia="en-NZ"/>
        </w:rPr>
      </w:pPr>
      <w:bookmarkStart w:id="18" w:name="_Toc401750348"/>
      <w:bookmarkStart w:id="19" w:name="_Toc421905506"/>
      <w:bookmarkStart w:id="20" w:name="_Toc421908600"/>
      <w:bookmarkStart w:id="21" w:name="_Toc421909575"/>
      <w:r>
        <w:rPr>
          <w:sz w:val="24"/>
        </w:rPr>
        <w:br w:type="page"/>
      </w:r>
    </w:p>
    <w:p w:rsidR="00D13A17" w:rsidRPr="00270D09" w:rsidRDefault="00D13A17" w:rsidP="00A35E97">
      <w:pPr>
        <w:pStyle w:val="AppBill-numberedsection"/>
        <w:spacing w:before="240"/>
        <w:rPr>
          <w:sz w:val="24"/>
        </w:rPr>
      </w:pPr>
      <w:r w:rsidRPr="00270D09">
        <w:rPr>
          <w:sz w:val="24"/>
        </w:rPr>
        <w:lastRenderedPageBreak/>
        <w:t>Grant and appropriation out of the Cook Islands Government Account</w:t>
      </w:r>
      <w:bookmarkEnd w:id="18"/>
      <w:bookmarkEnd w:id="19"/>
      <w:bookmarkEnd w:id="20"/>
      <w:bookmarkEnd w:id="21"/>
    </w:p>
    <w:p w:rsidR="00D13A17" w:rsidRPr="00270D09" w:rsidRDefault="00D13A17" w:rsidP="00A33752">
      <w:pPr>
        <w:pStyle w:val="S3Numberedsubsection"/>
        <w:widowControl w:val="0"/>
        <w:spacing w:after="0"/>
        <w:rPr>
          <w:sz w:val="24"/>
        </w:rPr>
      </w:pPr>
      <w:r w:rsidRPr="00270D09">
        <w:rPr>
          <w:sz w:val="24"/>
        </w:rPr>
        <w:t xml:space="preserve">The Minister responsible for Finance may authorise the incurrence of expenses or expenditure and may issue and apply out of the Cook Islands Government Account, towards making good the supplies granted to Her Majesty for the services of the year, any sums which in total do not exceed the sum of </w:t>
      </w:r>
      <w:r w:rsidRPr="00270D09">
        <w:rPr>
          <w:b/>
          <w:sz w:val="24"/>
        </w:rPr>
        <w:t>$</w:t>
      </w:r>
      <w:r w:rsidR="002A3465" w:rsidRPr="00270D09">
        <w:rPr>
          <w:b/>
          <w:sz w:val="24"/>
        </w:rPr>
        <w:t>320,</w:t>
      </w:r>
      <w:r w:rsidR="00DB3C2A" w:rsidRPr="00270D09">
        <w:rPr>
          <w:b/>
          <w:sz w:val="24"/>
        </w:rPr>
        <w:t>392,247</w:t>
      </w:r>
      <w:r w:rsidRPr="00270D09">
        <w:rPr>
          <w:sz w:val="24"/>
        </w:rPr>
        <w:t>.</w:t>
      </w:r>
    </w:p>
    <w:p w:rsidR="00D13A17" w:rsidRPr="00270D09" w:rsidRDefault="00D13A17" w:rsidP="00A33752">
      <w:pPr>
        <w:pStyle w:val="S3Numberedsubsection"/>
        <w:widowControl w:val="0"/>
        <w:spacing w:after="0"/>
        <w:rPr>
          <w:sz w:val="24"/>
        </w:rPr>
      </w:pPr>
      <w:r w:rsidRPr="00270D09">
        <w:rPr>
          <w:sz w:val="24"/>
        </w:rPr>
        <w:t>Subject to subsection (3) the sums authorised to be supplied are appropriated for the services set out in the votes specified in the Schedules to this Act.</w:t>
      </w:r>
    </w:p>
    <w:p w:rsidR="00D13A17" w:rsidRPr="00270D09" w:rsidRDefault="00D13A17" w:rsidP="00A33752">
      <w:pPr>
        <w:pStyle w:val="S3Numberedsubsection"/>
        <w:widowControl w:val="0"/>
        <w:spacing w:after="0"/>
        <w:rPr>
          <w:sz w:val="24"/>
        </w:rPr>
      </w:pPr>
      <w:r w:rsidRPr="00270D09">
        <w:rPr>
          <w:sz w:val="24"/>
        </w:rPr>
        <w:t>The votes identified in Schedule 4 to this Act as being funded through loans from financing partners or from grants by development partners are further limited to the lesser of the votes specified in those Schedules and the loan proceeds or grants received for the purpose of financing the expense or expenditure in relation to those votes.</w:t>
      </w:r>
    </w:p>
    <w:p w:rsidR="00D13A17" w:rsidRPr="00270D09" w:rsidRDefault="00D13A17" w:rsidP="00A33752">
      <w:pPr>
        <w:pStyle w:val="S3Numberedsubsection"/>
        <w:widowControl w:val="0"/>
        <w:spacing w:after="0"/>
        <w:rPr>
          <w:sz w:val="24"/>
        </w:rPr>
      </w:pPr>
      <w:r w:rsidRPr="00270D09">
        <w:rPr>
          <w:sz w:val="24"/>
        </w:rPr>
        <w:t>Notwithstanding Section 37 of the Ministry of Finance and Economic Management Act 1995-96, the appropriations made under this Act will lapse on 30 June 2023.</w:t>
      </w:r>
    </w:p>
    <w:p w:rsidR="00D13A17" w:rsidRPr="00270D09" w:rsidRDefault="00D13A17" w:rsidP="00A33752">
      <w:pPr>
        <w:pStyle w:val="S3Numberedsubsection"/>
        <w:widowControl w:val="0"/>
        <w:spacing w:after="0"/>
        <w:rPr>
          <w:sz w:val="24"/>
        </w:rPr>
      </w:pPr>
      <w:r w:rsidRPr="00270D09">
        <w:rPr>
          <w:sz w:val="24"/>
        </w:rPr>
        <w:t>Payments that may be charged against any appropriation made by this Act after 30 June 2023 are limited to—</w:t>
      </w:r>
    </w:p>
    <w:p w:rsidR="00D13A17" w:rsidRPr="00270D09" w:rsidRDefault="00D13A17" w:rsidP="00A33752">
      <w:pPr>
        <w:pStyle w:val="S4Paragraph"/>
        <w:widowControl w:val="0"/>
        <w:spacing w:after="0"/>
        <w:rPr>
          <w:sz w:val="24"/>
        </w:rPr>
      </w:pPr>
      <w:r w:rsidRPr="00270D09">
        <w:rPr>
          <w:sz w:val="24"/>
        </w:rPr>
        <w:t>self-balancing journal entries to correct posting errors during the year ended 30 June 2023; or</w:t>
      </w:r>
    </w:p>
    <w:p w:rsidR="00D13A17" w:rsidRPr="00270D09" w:rsidRDefault="00D13A17" w:rsidP="00A33752">
      <w:pPr>
        <w:pStyle w:val="S4Paragraph"/>
        <w:widowControl w:val="0"/>
        <w:spacing w:after="0"/>
        <w:rPr>
          <w:sz w:val="24"/>
        </w:rPr>
      </w:pPr>
      <w:r w:rsidRPr="00270D09">
        <w:rPr>
          <w:sz w:val="24"/>
        </w:rPr>
        <w:t>expenses incurred or payments due during the year ended 30 June 202</w:t>
      </w:r>
      <w:r w:rsidR="006D1729">
        <w:rPr>
          <w:sz w:val="24"/>
        </w:rPr>
        <w:t>3</w:t>
      </w:r>
      <w:r w:rsidRPr="00270D09">
        <w:rPr>
          <w:sz w:val="24"/>
        </w:rPr>
        <w:t xml:space="preserve"> for which a valid invoice was submitted before 30 June 202</w:t>
      </w:r>
      <w:r w:rsidR="006D1729">
        <w:rPr>
          <w:sz w:val="24"/>
        </w:rPr>
        <w:t>3</w:t>
      </w:r>
      <w:r w:rsidRPr="00270D09">
        <w:rPr>
          <w:sz w:val="24"/>
        </w:rPr>
        <w:t>, but for which a payment or payments to extinguish that liability in relation to that invoice had not been made by 30 June 2023.</w:t>
      </w:r>
    </w:p>
    <w:p w:rsidR="00D13A17" w:rsidRPr="00270D09" w:rsidRDefault="00D13A17" w:rsidP="00A33752">
      <w:pPr>
        <w:pStyle w:val="S3Numberedsubsection"/>
        <w:widowControl w:val="0"/>
        <w:spacing w:after="0"/>
        <w:rPr>
          <w:sz w:val="24"/>
        </w:rPr>
      </w:pPr>
      <w:r w:rsidRPr="00270D09">
        <w:rPr>
          <w:sz w:val="24"/>
        </w:rPr>
        <w:t>The appropriations made in the Appropriation Act 2021 will lapse on 30 June 2022.</w:t>
      </w:r>
    </w:p>
    <w:p w:rsidR="00D13A17" w:rsidRPr="00270D09" w:rsidRDefault="00D13A17" w:rsidP="00A33752">
      <w:pPr>
        <w:pStyle w:val="S3Numberedsubsection"/>
        <w:widowControl w:val="0"/>
        <w:spacing w:after="0"/>
        <w:rPr>
          <w:sz w:val="24"/>
        </w:rPr>
      </w:pPr>
      <w:r w:rsidRPr="00270D09">
        <w:rPr>
          <w:sz w:val="24"/>
        </w:rPr>
        <w:t>Payments that may be charged after 30 June 2022 against any appropriation that lapses under the provisions of subsection (6) are limited to—</w:t>
      </w:r>
    </w:p>
    <w:p w:rsidR="00D13A17" w:rsidRPr="00270D09" w:rsidRDefault="00D13A17" w:rsidP="00A33752">
      <w:pPr>
        <w:pStyle w:val="S4Paragraph"/>
        <w:widowControl w:val="0"/>
        <w:spacing w:after="0"/>
        <w:rPr>
          <w:sz w:val="24"/>
        </w:rPr>
      </w:pPr>
      <w:r w:rsidRPr="00270D09">
        <w:rPr>
          <w:sz w:val="24"/>
        </w:rPr>
        <w:t xml:space="preserve">self-balancing journal entries to </w:t>
      </w:r>
      <w:r w:rsidR="006D1729">
        <w:rPr>
          <w:sz w:val="24"/>
        </w:rPr>
        <w:t xml:space="preserve">correct </w:t>
      </w:r>
      <w:r w:rsidRPr="00270D09">
        <w:rPr>
          <w:sz w:val="24"/>
        </w:rPr>
        <w:t>posting errors during the year ended 30 June 2022; or</w:t>
      </w:r>
    </w:p>
    <w:p w:rsidR="00D13A17" w:rsidRPr="00270D09" w:rsidRDefault="00D13A17" w:rsidP="00A33752">
      <w:pPr>
        <w:pStyle w:val="S4Paragraph"/>
        <w:widowControl w:val="0"/>
        <w:spacing w:after="0"/>
        <w:rPr>
          <w:sz w:val="24"/>
        </w:rPr>
      </w:pPr>
      <w:r w:rsidRPr="00270D09">
        <w:rPr>
          <w:sz w:val="24"/>
        </w:rPr>
        <w:t>expenses incurred or payments due during the year ended 30 June 2022 for which a valid invoice was submitted before 30 June 2022, but for which a payment or payments to extinguish the liability in relation to that invoice had not been made by 30 June 2022.</w:t>
      </w:r>
    </w:p>
    <w:p w:rsidR="00D13A17" w:rsidRPr="00270D09" w:rsidRDefault="00D13A17" w:rsidP="00A33752">
      <w:pPr>
        <w:pStyle w:val="S3Numberedsubsection"/>
        <w:widowControl w:val="0"/>
        <w:spacing w:after="0"/>
        <w:rPr>
          <w:sz w:val="24"/>
        </w:rPr>
      </w:pPr>
      <w:r w:rsidRPr="00270D09">
        <w:rPr>
          <w:sz w:val="24"/>
        </w:rPr>
        <w:t>Where in the period ended 30 June 2022, the Financial Secretary appointed under section 4 of the Ministry of Finance and Economic Management Act 1995-96 had directed that an unexpended appropriation from an Appropriation Act for a previous year be available for expenditure in the year ended 30 June 2022, those appropriations will also lapse on 30 June 2022.</w:t>
      </w:r>
    </w:p>
    <w:p w:rsidR="00D13A17" w:rsidRPr="00270D09" w:rsidRDefault="00D13A17" w:rsidP="00A33752">
      <w:pPr>
        <w:pStyle w:val="S3Numberedsubsection"/>
        <w:widowControl w:val="0"/>
        <w:spacing w:after="0"/>
        <w:rPr>
          <w:sz w:val="24"/>
        </w:rPr>
      </w:pPr>
      <w:r w:rsidRPr="00270D09">
        <w:rPr>
          <w:sz w:val="24"/>
        </w:rPr>
        <w:t>Payments that may be charged after 30 June 2022 against any appropriation that lapses under the provisions of subsection (8) are limited to—</w:t>
      </w:r>
    </w:p>
    <w:p w:rsidR="00D13A17" w:rsidRPr="00270D09" w:rsidRDefault="00D13A17" w:rsidP="00A33752">
      <w:pPr>
        <w:pStyle w:val="S4Paragraph"/>
        <w:widowControl w:val="0"/>
        <w:spacing w:after="0"/>
        <w:rPr>
          <w:sz w:val="24"/>
        </w:rPr>
      </w:pPr>
      <w:r w:rsidRPr="00270D09">
        <w:rPr>
          <w:sz w:val="24"/>
        </w:rPr>
        <w:t>self-balanc</w:t>
      </w:r>
      <w:r w:rsidR="00A33752">
        <w:rPr>
          <w:sz w:val="24"/>
        </w:rPr>
        <w:t xml:space="preserve">ing journal entries to correct </w:t>
      </w:r>
      <w:r w:rsidRPr="00270D09">
        <w:rPr>
          <w:sz w:val="24"/>
        </w:rPr>
        <w:t>posting errors during the year ended 30 June 2022; or</w:t>
      </w:r>
    </w:p>
    <w:p w:rsidR="00D13A17" w:rsidRPr="00270D09" w:rsidRDefault="00D13A17" w:rsidP="00A33752">
      <w:pPr>
        <w:pStyle w:val="S4Paragraph"/>
        <w:widowControl w:val="0"/>
        <w:spacing w:after="0"/>
        <w:rPr>
          <w:sz w:val="24"/>
        </w:rPr>
      </w:pPr>
      <w:r w:rsidRPr="00270D09">
        <w:rPr>
          <w:sz w:val="24"/>
        </w:rPr>
        <w:t>expenses incurred or payments due during the year ended 30 June 2022 for which a valid invoice was submitted before 30 June 2022, but for which a payment or payments to extinguish the liability in relation to that invoice had not been made by 30 June 2022.</w:t>
      </w:r>
    </w:p>
    <w:p w:rsidR="00D13A17" w:rsidRPr="00270D09" w:rsidRDefault="00D13A17" w:rsidP="00D13A17">
      <w:pPr>
        <w:pStyle w:val="S4Paragraph"/>
        <w:widowControl w:val="0"/>
        <w:numPr>
          <w:ilvl w:val="0"/>
          <w:numId w:val="0"/>
        </w:numPr>
        <w:spacing w:after="120"/>
        <w:rPr>
          <w:sz w:val="24"/>
        </w:rPr>
        <w:sectPr w:rsidR="00D13A17" w:rsidRPr="00270D09" w:rsidSect="00BC5997">
          <w:headerReference w:type="even" r:id="rId8"/>
          <w:headerReference w:type="default" r:id="rId9"/>
          <w:footerReference w:type="even" r:id="rId10"/>
          <w:footerReference w:type="default" r:id="rId11"/>
          <w:footerReference w:type="first" r:id="rId12"/>
          <w:pgSz w:w="11906" w:h="16838" w:code="9"/>
          <w:pgMar w:top="1440" w:right="1440" w:bottom="1440" w:left="1440" w:header="708" w:footer="708" w:gutter="0"/>
          <w:cols w:space="708"/>
          <w:titlePg/>
          <w:docGrid w:linePitch="360"/>
        </w:sectPr>
      </w:pPr>
    </w:p>
    <w:p w:rsidR="00D13A17" w:rsidRPr="00270D09" w:rsidRDefault="00D13A17" w:rsidP="00D13A17">
      <w:pPr>
        <w:pStyle w:val="S4Paragraph"/>
        <w:widowControl w:val="0"/>
        <w:numPr>
          <w:ilvl w:val="0"/>
          <w:numId w:val="0"/>
        </w:numPr>
        <w:spacing w:after="0"/>
        <w:jc w:val="center"/>
        <w:rPr>
          <w:b/>
          <w:sz w:val="24"/>
        </w:rPr>
      </w:pPr>
      <w:r w:rsidRPr="00270D09">
        <w:rPr>
          <w:b/>
          <w:sz w:val="24"/>
        </w:rPr>
        <w:lastRenderedPageBreak/>
        <w:t>Schedule 1</w:t>
      </w:r>
    </w:p>
    <w:p w:rsidR="00D13A17" w:rsidRPr="00270D09" w:rsidRDefault="00D13A17" w:rsidP="00D13A17">
      <w:pPr>
        <w:pStyle w:val="S4Paragraph"/>
        <w:widowControl w:val="0"/>
        <w:numPr>
          <w:ilvl w:val="0"/>
          <w:numId w:val="0"/>
        </w:numPr>
        <w:spacing w:after="0"/>
        <w:jc w:val="center"/>
        <w:rPr>
          <w:b/>
          <w:sz w:val="24"/>
        </w:rPr>
      </w:pPr>
      <w:r w:rsidRPr="00270D09">
        <w:rPr>
          <w:b/>
          <w:sz w:val="24"/>
        </w:rPr>
        <w:t>Agency Budget Appropriations</w:t>
      </w:r>
    </w:p>
    <w:tbl>
      <w:tblPr>
        <w:tblW w:w="4986" w:type="pct"/>
        <w:tblLook w:val="04A0" w:firstRow="1" w:lastRow="0" w:firstColumn="1" w:lastColumn="0" w:noHBand="0" w:noVBand="1"/>
      </w:tblPr>
      <w:tblGrid>
        <w:gridCol w:w="3766"/>
        <w:gridCol w:w="1243"/>
        <w:gridCol w:w="1243"/>
        <w:gridCol w:w="1266"/>
        <w:gridCol w:w="1489"/>
        <w:gridCol w:w="1337"/>
        <w:gridCol w:w="1243"/>
        <w:gridCol w:w="1337"/>
      </w:tblGrid>
      <w:tr w:rsidR="00D13A17" w:rsidRPr="00A33752" w:rsidTr="008F11D9">
        <w:trPr>
          <w:trHeight w:val="397"/>
          <w:tblHeader/>
        </w:trPr>
        <w:tc>
          <w:tcPr>
            <w:tcW w:w="138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Agency</w:t>
            </w:r>
          </w:p>
        </w:tc>
        <w:tc>
          <w:tcPr>
            <w:tcW w:w="5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xml:space="preserve"> Personnel</w:t>
            </w:r>
          </w:p>
        </w:tc>
        <w:tc>
          <w:tcPr>
            <w:tcW w:w="5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xml:space="preserve"> Operating</w:t>
            </w:r>
          </w:p>
        </w:tc>
        <w:tc>
          <w:tcPr>
            <w:tcW w:w="5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xml:space="preserve"> Administered Payments</w:t>
            </w:r>
          </w:p>
        </w:tc>
        <w:tc>
          <w:tcPr>
            <w:tcW w:w="607"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xml:space="preserve"> Depreciation</w:t>
            </w:r>
          </w:p>
        </w:tc>
        <w:tc>
          <w:tcPr>
            <w:tcW w:w="5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Gross Current Appropriation</w:t>
            </w:r>
          </w:p>
        </w:tc>
        <w:tc>
          <w:tcPr>
            <w:tcW w:w="5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xml:space="preserve"> Trading Revenue</w:t>
            </w:r>
          </w:p>
        </w:tc>
        <w:tc>
          <w:tcPr>
            <w:tcW w:w="495"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center"/>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Net Current Appropriation</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Agriculture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1,095,572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314,509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1,455,081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90,535</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1,364,546</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Audit (PERCA)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996,953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119,701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1,132,654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156,300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976,354</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Business Trade and Investment Board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365,000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242,266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611,266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27,400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583,866</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Cook Islands Investment Corporation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1,458,000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824,000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3,527,000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753,831</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2,773,169</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Corrective Services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1,459,326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229,131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1,729,457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1,629,457</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Crown Law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987,500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163,500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1,204,000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Cultural Development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734,250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615,000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89,500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1,566,750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170,000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1,396,750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Education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12,230,197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2,495,820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4,834,602</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615,000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20,175,619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20,175,619</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Environment</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990,826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201,000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412,241</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1,634,067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35,000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1,599,067</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Finance and Economic Management</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6,534,508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822,419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22,504,650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260,000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30,121,577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954,341</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29,167,236</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Financial Services Development Authority</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242,797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177,906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453,703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453,703</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Foreign Affairs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1,932,692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1,019,103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3,011,795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2,983,795</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Head Of State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178,548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22,658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36,000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251,206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251,206</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Health</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12,833,011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3,648,951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2,536,870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1,570,000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20,588,832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350,000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20,238,832</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Infrastructure Cook Islands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2,369,871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379,129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2,480,000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5,374,000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5,074,000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Internal Affairs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1,357,376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299,000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3,204,217</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4,872,593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4,872,593</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of which: Welfare Payments - Allowances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1,307,217</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i/>
                <w:iCs/>
                <w:color w:val="000000"/>
                <w:sz w:val="18"/>
                <w:szCs w:val="18"/>
              </w:rPr>
            </w:pPr>
            <w:r w:rsidRPr="00A33752">
              <w:rPr>
                <w:rFonts w:ascii="Times New Roman" w:hAnsi="Times New Roman"/>
                <w:i/>
                <w:iCs/>
                <w:color w:val="000000"/>
                <w:sz w:val="18"/>
                <w:szCs w:val="18"/>
              </w:rPr>
              <w:t> </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Justice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2,028,976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350,000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460,000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23,000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2,861,976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425,000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2,436,976</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Marine Resources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1,478,942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455,058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2,234,000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2,214,000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Ombudsman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233,000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301,000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301,000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Parliamentary Services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620,100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72,720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892,820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892,820</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Police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4,154,896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286,104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215,000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1,010,000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5,666,000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154,783</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5,511,217</w:t>
            </w:r>
          </w:p>
        </w:tc>
      </w:tr>
      <w:tr w:rsidR="00D012CF" w:rsidRPr="00A33752" w:rsidTr="00270D09">
        <w:trPr>
          <w:trHeight w:val="192"/>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Prime Minister's Office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1,532,200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459,000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1,193,000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3,199,200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3,199,200</w:t>
            </w:r>
          </w:p>
        </w:tc>
      </w:tr>
      <w:tr w:rsidR="00D012CF" w:rsidRPr="00A33752" w:rsidTr="00270D09">
        <w:trPr>
          <w:trHeight w:val="20"/>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Public Service Commission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350,000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191,510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1,903,170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2,449,680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2,449,680</w:t>
            </w:r>
          </w:p>
        </w:tc>
      </w:tr>
      <w:tr w:rsidR="00D012CF" w:rsidRPr="00A33752" w:rsidTr="00270D09">
        <w:trPr>
          <w:trHeight w:val="20"/>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Cook Islands Seabed Minerals Authority</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590,944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299,056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999,500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240,000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759,500</w:t>
            </w:r>
          </w:p>
        </w:tc>
      </w:tr>
      <w:tr w:rsidR="00D012CF" w:rsidRPr="00A33752" w:rsidTr="00270D09">
        <w:trPr>
          <w:trHeight w:val="20"/>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Tourism Corporation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2,300,022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1,319,978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4,500,000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8,172,000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8,172,000</w:t>
            </w:r>
          </w:p>
        </w:tc>
      </w:tr>
      <w:tr w:rsidR="00D012CF" w:rsidRPr="00A33752" w:rsidTr="00270D09">
        <w:trPr>
          <w:trHeight w:val="20"/>
        </w:trPr>
        <w:tc>
          <w:tcPr>
            <w:tcW w:w="1383" w:type="pct"/>
            <w:tcBorders>
              <w:top w:val="nil"/>
              <w:left w:val="nil"/>
              <w:bottom w:val="nil"/>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Transport</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1,023,500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150,221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25,609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1,199,330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41,221</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1,158,109</w:t>
            </w:r>
          </w:p>
        </w:tc>
      </w:tr>
      <w:tr w:rsidR="00D012CF" w:rsidRPr="00A33752" w:rsidTr="00270D09">
        <w:trPr>
          <w:trHeight w:val="20"/>
        </w:trPr>
        <w:tc>
          <w:tcPr>
            <w:tcW w:w="1383" w:type="pct"/>
            <w:tcBorders>
              <w:top w:val="single" w:sz="4" w:space="0" w:color="auto"/>
              <w:left w:val="nil"/>
              <w:bottom w:val="single" w:sz="4" w:space="0" w:color="auto"/>
              <w:right w:val="nil"/>
            </w:tcBorders>
            <w:shd w:val="clear" w:color="000000" w:fill="FFFFFF"/>
            <w:noWrap/>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Ministries, Crown &amp; Statutory Agencies</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60,079,007</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14,740,020</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46,559,750</w:t>
            </w:r>
          </w:p>
        </w:tc>
        <w:tc>
          <w:tcPr>
            <w:tcW w:w="607"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4,306,329</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125,685,106</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3,846,411</w:t>
            </w:r>
          </w:p>
        </w:tc>
        <w:tc>
          <w:tcPr>
            <w:tcW w:w="495"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121,838,695</w:t>
            </w:r>
          </w:p>
        </w:tc>
      </w:tr>
      <w:tr w:rsidR="00D13A17" w:rsidRPr="00A33752" w:rsidTr="00C836CA">
        <w:trPr>
          <w:trHeight w:val="20"/>
        </w:trPr>
        <w:tc>
          <w:tcPr>
            <w:tcW w:w="138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Ministerial Support</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607"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c>
          <w:tcPr>
            <w:tcW w:w="495"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Prime Minister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406,069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121,289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12,642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540,000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540,000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Deputy Prime Minister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297,800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70,611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9,589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378,000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378,000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Ministerial Support 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181,000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115,838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11,162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Ministerial Support 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164,000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Ministerial Support 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217,500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5,500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Ministerial Support 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188,901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109,509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9,590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 xml:space="preserve">Leader Of Opposition </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163,712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131,462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12,826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308,000</w:t>
            </w:r>
          </w:p>
        </w:tc>
      </w:tr>
      <w:tr w:rsidR="00D012CF" w:rsidRPr="00A33752" w:rsidTr="00C836CA">
        <w:trPr>
          <w:trHeight w:val="20"/>
        </w:trPr>
        <w:tc>
          <w:tcPr>
            <w:tcW w:w="138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Ministerial Support Offices</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1,618,982</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765,709</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0</w:t>
            </w:r>
          </w:p>
        </w:tc>
        <w:tc>
          <w:tcPr>
            <w:tcW w:w="607"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73,309</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2,458,000</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0</w:t>
            </w:r>
          </w:p>
        </w:tc>
        <w:tc>
          <w:tcPr>
            <w:tcW w:w="495"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2,458,000</w:t>
            </w:r>
          </w:p>
        </w:tc>
      </w:tr>
      <w:tr w:rsidR="00D13A17" w:rsidRPr="00A33752" w:rsidTr="00C836CA">
        <w:trPr>
          <w:trHeight w:val="20"/>
        </w:trPr>
        <w:tc>
          <w:tcPr>
            <w:tcW w:w="1383" w:type="pct"/>
            <w:tcBorders>
              <w:top w:val="nil"/>
              <w:left w:val="nil"/>
              <w:bottom w:val="nil"/>
              <w:right w:val="nil"/>
            </w:tcBorders>
            <w:shd w:val="clear" w:color="000000" w:fill="FFFFFF"/>
            <w:noWrap/>
            <w:vAlign w:val="center"/>
            <w:hideMark/>
          </w:tcPr>
          <w:p w:rsidR="00A33752" w:rsidRDefault="00A33752" w:rsidP="00D13A17">
            <w:pPr>
              <w:keepLines w:val="0"/>
              <w:spacing w:after="0"/>
              <w:jc w:val="left"/>
              <w:rPr>
                <w:rFonts w:ascii="Times New Roman" w:eastAsia="Times New Roman" w:hAnsi="Times New Roman"/>
                <w:b/>
                <w:bCs/>
                <w:color w:val="000000"/>
                <w:sz w:val="18"/>
                <w:szCs w:val="18"/>
              </w:rPr>
            </w:pPr>
          </w:p>
          <w:p w:rsidR="00A33752" w:rsidRDefault="00A33752" w:rsidP="00D13A17">
            <w:pPr>
              <w:keepLines w:val="0"/>
              <w:spacing w:after="0"/>
              <w:jc w:val="left"/>
              <w:rPr>
                <w:rFonts w:ascii="Times New Roman" w:eastAsia="Times New Roman" w:hAnsi="Times New Roman"/>
                <w:b/>
                <w:bCs/>
                <w:color w:val="000000"/>
                <w:sz w:val="18"/>
                <w:szCs w:val="18"/>
              </w:rPr>
            </w:pPr>
          </w:p>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lastRenderedPageBreak/>
              <w:t>Outer Islands</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lastRenderedPageBreak/>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607"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5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495"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lastRenderedPageBreak/>
              <w:t>Aitutaki</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1,240,593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417,547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480,000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2,138,140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67,828</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2,070,312</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Atiu</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913,445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458,918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430,000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1,802,363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224,318</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1,578,045</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Mangaia</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984,863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611,848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1,806,711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301,000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1,505,711</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Manihiki</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760,803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159,165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460,000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1,379,968</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119,000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1,260,968</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Mauke</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825,143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237,194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380,000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1,442,337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113,853</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1,328,484</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Mitiaro</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733,595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88,527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93,000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915,122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60,900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854,222</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Palmerston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284,152</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71,851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436,003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20,500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415,503</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Penrhyn</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667,783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180,836</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180,000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1,028,619</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74,000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954,619</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Pukapuka-Nassau</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943,074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155,503</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215,000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1,313,577</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73,695</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1,239,882</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Rakahanga</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429,844</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67,761</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82,000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579,605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52,000</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527,605</w:t>
            </w:r>
          </w:p>
        </w:tc>
      </w:tr>
      <w:tr w:rsidR="00D012CF" w:rsidRPr="00A33752" w:rsidTr="00C836CA">
        <w:trPr>
          <w:trHeight w:val="20"/>
        </w:trPr>
        <w:tc>
          <w:tcPr>
            <w:tcW w:w="138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Outer Islands</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7,783,295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2,449,150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0</w:t>
            </w:r>
          </w:p>
        </w:tc>
        <w:tc>
          <w:tcPr>
            <w:tcW w:w="60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2,610,000</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12,842,445</w:t>
            </w:r>
          </w:p>
        </w:tc>
        <w:tc>
          <w:tcPr>
            <w:tcW w:w="503"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1,107,094</w:t>
            </w:r>
          </w:p>
        </w:tc>
        <w:tc>
          <w:tcPr>
            <w:tcW w:w="495"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11,735,351</w:t>
            </w:r>
          </w:p>
        </w:tc>
      </w:tr>
      <w:tr w:rsidR="00D012CF" w:rsidRPr="00A33752" w:rsidTr="00C836CA">
        <w:trPr>
          <w:trHeight w:val="20"/>
        </w:trPr>
        <w:tc>
          <w:tcPr>
            <w:tcW w:w="138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hAnsi="Times New Roman"/>
                <w:b/>
                <w:bCs/>
                <w:color w:val="000000"/>
                <w:sz w:val="18"/>
                <w:szCs w:val="18"/>
              </w:rPr>
              <w:t>Gross Total</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69,481,284</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17,954,879</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46,559,750</w:t>
            </w:r>
          </w:p>
        </w:tc>
        <w:tc>
          <w:tcPr>
            <w:tcW w:w="607"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6,989,638</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140,985,551</w:t>
            </w:r>
          </w:p>
        </w:tc>
        <w:tc>
          <w:tcPr>
            <w:tcW w:w="503"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4,953,505</w:t>
            </w:r>
          </w:p>
        </w:tc>
        <w:tc>
          <w:tcPr>
            <w:tcW w:w="495" w:type="pct"/>
            <w:tcBorders>
              <w:top w:val="single" w:sz="4" w:space="0" w:color="auto"/>
              <w:left w:val="nil"/>
              <w:bottom w:val="single" w:sz="4"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136,032,046</w:t>
            </w:r>
          </w:p>
        </w:tc>
      </w:tr>
    </w:tbl>
    <w:p w:rsidR="00D13A17" w:rsidRPr="00270D09" w:rsidRDefault="00D13A17">
      <w:pPr>
        <w:keepLines w:val="0"/>
        <w:spacing w:after="160" w:line="259" w:lineRule="auto"/>
        <w:jc w:val="left"/>
        <w:rPr>
          <w:rFonts w:ascii="Times New Roman" w:eastAsia="Times New Roman" w:hAnsi="Times New Roman"/>
          <w:b/>
          <w:iCs/>
          <w:sz w:val="24"/>
          <w:szCs w:val="24"/>
          <w:lang w:val="en-NZ" w:eastAsia="en-NZ"/>
        </w:rPr>
      </w:pPr>
    </w:p>
    <w:p w:rsidR="00D13A17" w:rsidRPr="00270D09" w:rsidRDefault="00D13A17">
      <w:pPr>
        <w:keepLines w:val="0"/>
        <w:spacing w:after="160" w:line="259" w:lineRule="auto"/>
        <w:jc w:val="left"/>
        <w:rPr>
          <w:rFonts w:ascii="Times New Roman" w:eastAsia="Times New Roman" w:hAnsi="Times New Roman"/>
          <w:iCs/>
          <w:sz w:val="24"/>
          <w:szCs w:val="24"/>
          <w:lang w:val="en-NZ" w:eastAsia="en-NZ"/>
        </w:rPr>
        <w:sectPr w:rsidR="00D13A17" w:rsidRPr="00270D09" w:rsidSect="00D13A17">
          <w:pgSz w:w="15840" w:h="12240" w:orient="landscape"/>
          <w:pgMar w:top="1440" w:right="1440" w:bottom="1440" w:left="1440" w:header="708" w:footer="708" w:gutter="0"/>
          <w:cols w:space="708"/>
          <w:docGrid w:linePitch="360"/>
        </w:sectPr>
      </w:pPr>
    </w:p>
    <w:p w:rsidR="00D13A17" w:rsidRPr="00270D09" w:rsidRDefault="00D13A17" w:rsidP="00D13A17">
      <w:pPr>
        <w:keepLines w:val="0"/>
        <w:spacing w:after="0" w:line="259" w:lineRule="auto"/>
        <w:jc w:val="center"/>
        <w:rPr>
          <w:rFonts w:ascii="Times New Roman" w:eastAsia="Times New Roman" w:hAnsi="Times New Roman"/>
          <w:b/>
          <w:iCs/>
          <w:sz w:val="24"/>
          <w:szCs w:val="24"/>
          <w:lang w:val="en-NZ" w:eastAsia="en-NZ"/>
        </w:rPr>
      </w:pPr>
      <w:r w:rsidRPr="00270D09">
        <w:rPr>
          <w:rFonts w:ascii="Times New Roman" w:eastAsia="Times New Roman" w:hAnsi="Times New Roman"/>
          <w:b/>
          <w:iCs/>
          <w:sz w:val="24"/>
          <w:szCs w:val="24"/>
          <w:lang w:val="en-NZ" w:eastAsia="en-NZ"/>
        </w:rPr>
        <w:lastRenderedPageBreak/>
        <w:t>Schedule 2</w:t>
      </w:r>
    </w:p>
    <w:p w:rsidR="00D13A17" w:rsidRPr="00270D09" w:rsidRDefault="00D13A17" w:rsidP="00D13A17">
      <w:pPr>
        <w:keepLines w:val="0"/>
        <w:spacing w:after="0" w:line="259" w:lineRule="auto"/>
        <w:jc w:val="center"/>
        <w:rPr>
          <w:rFonts w:ascii="Times New Roman" w:eastAsia="Times New Roman" w:hAnsi="Times New Roman"/>
          <w:b/>
          <w:iCs/>
          <w:sz w:val="24"/>
          <w:szCs w:val="24"/>
          <w:lang w:val="en-NZ" w:eastAsia="en-NZ"/>
        </w:rPr>
      </w:pPr>
      <w:r w:rsidRPr="00270D09">
        <w:rPr>
          <w:rFonts w:ascii="Times New Roman" w:eastAsia="Times New Roman" w:hAnsi="Times New Roman"/>
          <w:b/>
          <w:iCs/>
          <w:sz w:val="24"/>
          <w:szCs w:val="24"/>
          <w:lang w:val="en-NZ" w:eastAsia="en-NZ"/>
        </w:rPr>
        <w:t>PAYMENTS ON BEHALF OF THE CROWN (POBOCs)</w:t>
      </w:r>
    </w:p>
    <w:tbl>
      <w:tblPr>
        <w:tblW w:w="5047" w:type="pct"/>
        <w:tblLook w:val="04A0" w:firstRow="1" w:lastRow="0" w:firstColumn="1" w:lastColumn="0" w:noHBand="0" w:noVBand="1"/>
      </w:tblPr>
      <w:tblGrid>
        <w:gridCol w:w="3282"/>
        <w:gridCol w:w="3889"/>
        <w:gridCol w:w="1139"/>
        <w:gridCol w:w="1138"/>
      </w:tblGrid>
      <w:tr w:rsidR="00D13A17" w:rsidRPr="00A33752" w:rsidTr="003D7E44">
        <w:trPr>
          <w:trHeight w:val="60"/>
        </w:trPr>
        <w:tc>
          <w:tcPr>
            <w:tcW w:w="1737"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Administering Ministry</w:t>
            </w:r>
          </w:p>
        </w:tc>
        <w:tc>
          <w:tcPr>
            <w:tcW w:w="2058"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POBOC</w:t>
            </w:r>
          </w:p>
        </w:tc>
        <w:tc>
          <w:tcPr>
            <w:tcW w:w="603"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2021/22 Budget Estimate</w:t>
            </w:r>
          </w:p>
        </w:tc>
        <w:tc>
          <w:tcPr>
            <w:tcW w:w="602" w:type="pct"/>
            <w:tcBorders>
              <w:top w:val="single" w:sz="8" w:space="0" w:color="auto"/>
              <w:left w:val="nil"/>
              <w:bottom w:val="single" w:sz="8" w:space="0" w:color="auto"/>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2022/23 Budget Estimate</w:t>
            </w:r>
          </w:p>
        </w:tc>
      </w:tr>
      <w:tr w:rsidR="00D13A17" w:rsidRPr="00A33752" w:rsidTr="003D7E44">
        <w:trPr>
          <w:trHeight w:val="55"/>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Compensation of Employees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3"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2"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Finance &amp; Economic Management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Superannuation</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180,000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180,000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Audit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PERC Salaries and Administration Costs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57,500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57,500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Civil List - Personnel</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2,901,961</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2,901,961</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House of Ariki</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348,420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xml:space="preserve">Cultural Development </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House of Ariki (CI)</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326,690</w:t>
            </w:r>
          </w:p>
        </w:tc>
      </w:tr>
      <w:tr w:rsidR="00D13A17" w:rsidRPr="00A33752" w:rsidTr="003D7E44">
        <w:trPr>
          <w:trHeight w:val="279"/>
        </w:trPr>
        <w:tc>
          <w:tcPr>
            <w:tcW w:w="1737"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2058"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Compensation of Employees POBOCs</w:t>
            </w:r>
          </w:p>
        </w:tc>
        <w:tc>
          <w:tcPr>
            <w:tcW w:w="603"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3,487,881</w:t>
            </w:r>
          </w:p>
        </w:tc>
        <w:tc>
          <w:tcPr>
            <w:tcW w:w="602"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3,466,151</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Use of Goods and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3"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2"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Audit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Audit Fees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95,600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103,000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Prime Minister's Office</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Local Government Election</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Civil List - Constituency Visits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170,200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170,200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Sitting Expenses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200,000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200,000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QR Travel and Allowances (local and overseas)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109,000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109,000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Parliamentary Services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MP Travel and Allowances (local and overseas)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180,000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230,000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Foreign Affairs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International Maritime Organisation - Maritime Cook Islands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63,461</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63,461</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Transport</w:t>
            </w:r>
          </w:p>
        </w:tc>
        <w:tc>
          <w:tcPr>
            <w:tcW w:w="2058" w:type="pct"/>
            <w:tcBorders>
              <w:top w:val="nil"/>
              <w:left w:val="nil"/>
              <w:bottom w:val="nil"/>
              <w:right w:val="nil"/>
            </w:tcBorders>
            <w:shd w:val="clear" w:color="000000" w:fill="FFFFFF"/>
            <w:vAlign w:val="bottom"/>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Maritime Radio Coverage</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120,000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120,000</w:t>
            </w:r>
          </w:p>
        </w:tc>
      </w:tr>
      <w:tr w:rsidR="00D13A17" w:rsidRPr="00A33752" w:rsidTr="003D7E44">
        <w:trPr>
          <w:trHeight w:val="70"/>
        </w:trPr>
        <w:tc>
          <w:tcPr>
            <w:tcW w:w="1737"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2058"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Use of Goods and Services POBOCs</w:t>
            </w:r>
          </w:p>
        </w:tc>
        <w:tc>
          <w:tcPr>
            <w:tcW w:w="603"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938,261</w:t>
            </w:r>
          </w:p>
        </w:tc>
        <w:tc>
          <w:tcPr>
            <w:tcW w:w="602"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995,661</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Subsidies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Airport Authority subsidy</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2,047,997</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2,047,997</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Bank of the Cook Islands - social assistance subsidy</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128,000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128,000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Ports Authority - subsidy</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110,099</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110,099</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Te Aponga Uira - social assistance subsidy</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r>
      <w:tr w:rsidR="00D13A17" w:rsidRPr="00A33752" w:rsidTr="003D7E44">
        <w:trPr>
          <w:trHeight w:val="80"/>
        </w:trPr>
        <w:tc>
          <w:tcPr>
            <w:tcW w:w="1737" w:type="pct"/>
            <w:tcBorders>
              <w:top w:val="nil"/>
              <w:left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top w:val="nil"/>
              <w:left w:val="nil"/>
              <w:right w:val="nil"/>
            </w:tcBorders>
            <w:shd w:val="clear" w:color="000000" w:fill="FFFFFF"/>
            <w:vAlign w:val="bottom"/>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Te Mana Uira o Araura - subsidy</w:t>
            </w:r>
          </w:p>
        </w:tc>
        <w:tc>
          <w:tcPr>
            <w:tcW w:w="603" w:type="pct"/>
            <w:tcBorders>
              <w:top w:val="nil"/>
              <w:left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c>
          <w:tcPr>
            <w:tcW w:w="602" w:type="pct"/>
            <w:tcBorders>
              <w:top w:val="nil"/>
              <w:left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r>
      <w:tr w:rsidR="003D7E44" w:rsidRPr="00A33752" w:rsidTr="003D7E44">
        <w:trPr>
          <w:trHeight w:val="70"/>
        </w:trPr>
        <w:tc>
          <w:tcPr>
            <w:tcW w:w="1737" w:type="pct"/>
            <w:tcBorders>
              <w:left w:val="nil"/>
              <w:bottom w:val="single" w:sz="4" w:space="0" w:color="auto"/>
              <w:right w:val="nil"/>
            </w:tcBorders>
            <w:shd w:val="clear" w:color="000000" w:fill="FFFFFF"/>
            <w:vAlign w:val="center"/>
          </w:tcPr>
          <w:p w:rsidR="003D7E44" w:rsidRPr="00A33752" w:rsidRDefault="003D7E44" w:rsidP="003D7E44">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Cook Islands Investment Corporation</w:t>
            </w:r>
          </w:p>
        </w:tc>
        <w:tc>
          <w:tcPr>
            <w:tcW w:w="2058" w:type="pct"/>
            <w:tcBorders>
              <w:left w:val="nil"/>
              <w:bottom w:val="single" w:sz="4" w:space="0" w:color="auto"/>
              <w:right w:val="nil"/>
            </w:tcBorders>
            <w:shd w:val="clear" w:color="000000" w:fill="FFFFFF"/>
            <w:vAlign w:val="center"/>
          </w:tcPr>
          <w:p w:rsidR="003D7E44" w:rsidRPr="00A33752" w:rsidRDefault="003D7E44" w:rsidP="003D7E44">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To Tatou Vai (CI)</w:t>
            </w:r>
          </w:p>
        </w:tc>
        <w:tc>
          <w:tcPr>
            <w:tcW w:w="603" w:type="pct"/>
            <w:tcBorders>
              <w:left w:val="nil"/>
              <w:bottom w:val="single" w:sz="4" w:space="0" w:color="auto"/>
              <w:right w:val="nil"/>
            </w:tcBorders>
            <w:shd w:val="clear" w:color="000000" w:fill="FFFFFF"/>
            <w:noWrap/>
            <w:vAlign w:val="center"/>
          </w:tcPr>
          <w:p w:rsidR="003D7E44" w:rsidRPr="00A33752" w:rsidRDefault="003D7E44" w:rsidP="003D7E44">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0</w:t>
            </w:r>
          </w:p>
        </w:tc>
        <w:tc>
          <w:tcPr>
            <w:tcW w:w="602" w:type="pct"/>
            <w:tcBorders>
              <w:left w:val="nil"/>
              <w:bottom w:val="single" w:sz="4" w:space="0" w:color="auto"/>
              <w:right w:val="nil"/>
            </w:tcBorders>
            <w:shd w:val="clear" w:color="000000" w:fill="FFFFFF"/>
            <w:noWrap/>
            <w:vAlign w:val="center"/>
          </w:tcPr>
          <w:p w:rsidR="003D7E44" w:rsidRPr="00A33752" w:rsidRDefault="003D7E44" w:rsidP="003D7E44">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3,000,000</w:t>
            </w:r>
          </w:p>
        </w:tc>
      </w:tr>
      <w:tr w:rsidR="00D13A17" w:rsidRPr="00A33752" w:rsidTr="003D7E44">
        <w:trPr>
          <w:trHeight w:val="70"/>
        </w:trPr>
        <w:tc>
          <w:tcPr>
            <w:tcW w:w="1737"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2058"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Subsidies POBOCs</w:t>
            </w:r>
          </w:p>
        </w:tc>
        <w:tc>
          <w:tcPr>
            <w:tcW w:w="603"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2,286,096</w:t>
            </w:r>
          </w:p>
        </w:tc>
        <w:tc>
          <w:tcPr>
            <w:tcW w:w="602" w:type="pct"/>
            <w:tcBorders>
              <w:top w:val="single" w:sz="4" w:space="0" w:color="auto"/>
              <w:left w:val="nil"/>
              <w:bottom w:val="single" w:sz="4" w:space="0" w:color="auto"/>
              <w:right w:val="nil"/>
            </w:tcBorders>
            <w:shd w:val="clear" w:color="000000" w:fill="FFFFFF"/>
            <w:noWrap/>
            <w:vAlign w:val="center"/>
            <w:hideMark/>
          </w:tcPr>
          <w:p w:rsidR="00D13A17" w:rsidRPr="00A33752" w:rsidRDefault="003D7E44"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5</w:t>
            </w:r>
            <w:r w:rsidR="00D13A17" w:rsidRPr="00A33752">
              <w:rPr>
                <w:rFonts w:ascii="Times New Roman" w:eastAsia="Times New Roman" w:hAnsi="Times New Roman"/>
                <w:b/>
                <w:bCs/>
                <w:sz w:val="18"/>
                <w:szCs w:val="18"/>
              </w:rPr>
              <w:t>,286,096</w:t>
            </w:r>
          </w:p>
        </w:tc>
      </w:tr>
      <w:tr w:rsidR="00D13A17" w:rsidRPr="00A33752" w:rsidTr="003D7E44">
        <w:trPr>
          <w:trHeight w:val="7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Social Assistance</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sz w:val="18"/>
                <w:szCs w:val="18"/>
              </w:rPr>
            </w:pPr>
            <w:r w:rsidRPr="00A33752">
              <w:rPr>
                <w:rFonts w:ascii="Times New Roman" w:eastAsia="Times New Roman" w:hAnsi="Times New Roman"/>
                <w:sz w:val="18"/>
                <w:szCs w:val="18"/>
              </w:rPr>
              <w:t> </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Internal Affairs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Welfare Payments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20,227,000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21,067,190</w:t>
            </w:r>
          </w:p>
        </w:tc>
      </w:tr>
      <w:tr w:rsidR="00D13A17" w:rsidRPr="00A33752" w:rsidTr="003D7E44">
        <w:trPr>
          <w:trHeight w:val="70"/>
        </w:trPr>
        <w:tc>
          <w:tcPr>
            <w:tcW w:w="1737"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2058"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Social Assistance POBOCs</w:t>
            </w:r>
          </w:p>
        </w:tc>
        <w:tc>
          <w:tcPr>
            <w:tcW w:w="603"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20,227,000</w:t>
            </w:r>
          </w:p>
        </w:tc>
        <w:tc>
          <w:tcPr>
            <w:tcW w:w="602"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21,067,190</w:t>
            </w:r>
          </w:p>
        </w:tc>
      </w:tr>
      <w:tr w:rsidR="00D13A17" w:rsidRPr="00A33752" w:rsidTr="003D7E44">
        <w:trPr>
          <w:trHeight w:val="279"/>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Other Expense</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sz w:val="18"/>
                <w:szCs w:val="18"/>
              </w:rPr>
            </w:pPr>
            <w:r w:rsidRPr="00A33752">
              <w:rPr>
                <w:rFonts w:ascii="Times New Roman" w:eastAsia="Times New Roman" w:hAnsi="Times New Roman"/>
                <w:sz w:val="18"/>
                <w:szCs w:val="18"/>
              </w:rPr>
              <w:t> </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Finance &amp; Economic Management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Pacific Catastrophe Risk Insurance</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160,000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160,000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Finance &amp; Economic Management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CIG Insurance</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40,000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40,000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Finance &amp; Economic Management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BEPS Subscription</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35,000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45,000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Finance &amp; Economic Management</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Competition and Regulatory Authority</w:t>
            </w:r>
            <w:r w:rsidRPr="00A33752">
              <w:rPr>
                <w:rFonts w:ascii="Times New Roman" w:eastAsia="Times New Roman" w:hAnsi="Times New Roman"/>
                <w:color w:val="FFFFFF"/>
                <w:sz w:val="18"/>
                <w:szCs w:val="18"/>
              </w:rPr>
              <w:t xml:space="preserve"> (CRA)</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620,574</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400,000</w:t>
            </w:r>
          </w:p>
        </w:tc>
      </w:tr>
      <w:tr w:rsidR="00D13A17" w:rsidRPr="00A33752" w:rsidTr="003D7E44">
        <w:trPr>
          <w:trHeight w:val="80"/>
        </w:trPr>
        <w:tc>
          <w:tcPr>
            <w:tcW w:w="1737"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Foreign Affairs</w:t>
            </w:r>
          </w:p>
        </w:tc>
        <w:tc>
          <w:tcPr>
            <w:tcW w:w="2058" w:type="pct"/>
            <w:tcBorders>
              <w:top w:val="nil"/>
              <w:left w:val="nil"/>
              <w:bottom w:val="nil"/>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International Subscriptions</w:t>
            </w:r>
          </w:p>
        </w:tc>
        <w:tc>
          <w:tcPr>
            <w:tcW w:w="603"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890,000</w:t>
            </w:r>
          </w:p>
        </w:tc>
        <w:tc>
          <w:tcPr>
            <w:tcW w:w="602" w:type="pct"/>
            <w:tcBorders>
              <w:top w:val="nil"/>
              <w:left w:val="nil"/>
              <w:bottom w:val="nil"/>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890,000</w:t>
            </w:r>
          </w:p>
        </w:tc>
      </w:tr>
      <w:tr w:rsidR="00D13A17" w:rsidRPr="00A33752" w:rsidTr="003D7E44">
        <w:trPr>
          <w:trHeight w:val="70"/>
        </w:trPr>
        <w:tc>
          <w:tcPr>
            <w:tcW w:w="1737"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sz w:val="18"/>
                <w:szCs w:val="18"/>
              </w:rPr>
            </w:pPr>
            <w:r w:rsidRPr="00A33752">
              <w:rPr>
                <w:rFonts w:ascii="Times New Roman" w:eastAsia="Times New Roman" w:hAnsi="Times New Roman"/>
                <w:sz w:val="18"/>
                <w:szCs w:val="18"/>
              </w:rPr>
              <w:t> </w:t>
            </w:r>
          </w:p>
        </w:tc>
        <w:tc>
          <w:tcPr>
            <w:tcW w:w="2058" w:type="pct"/>
            <w:tcBorders>
              <w:top w:val="single" w:sz="4" w:space="0" w:color="auto"/>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Other Expenses POBOCs</w:t>
            </w:r>
          </w:p>
        </w:tc>
        <w:tc>
          <w:tcPr>
            <w:tcW w:w="603" w:type="pct"/>
            <w:tcBorders>
              <w:top w:val="single" w:sz="4" w:space="0" w:color="auto"/>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1,745,574</w:t>
            </w:r>
          </w:p>
        </w:tc>
        <w:tc>
          <w:tcPr>
            <w:tcW w:w="602" w:type="pct"/>
            <w:tcBorders>
              <w:top w:val="single" w:sz="4" w:space="0" w:color="auto"/>
              <w:left w:val="nil"/>
              <w:bottom w:val="single" w:sz="4" w:space="0" w:color="auto"/>
              <w:right w:val="nil"/>
            </w:tcBorders>
            <w:shd w:val="clear" w:color="000000" w:fill="FFFFFF"/>
            <w:noWrap/>
            <w:vAlign w:val="center"/>
            <w:hideMark/>
          </w:tcPr>
          <w:p w:rsidR="00D13A17" w:rsidRPr="00A33752" w:rsidRDefault="003D7E44"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1</w:t>
            </w:r>
            <w:r w:rsidR="00D13A17" w:rsidRPr="00A33752">
              <w:rPr>
                <w:rFonts w:ascii="Times New Roman" w:eastAsia="Times New Roman" w:hAnsi="Times New Roman"/>
                <w:b/>
                <w:bCs/>
                <w:sz w:val="18"/>
                <w:szCs w:val="18"/>
              </w:rPr>
              <w:t>,535,000</w:t>
            </w:r>
          </w:p>
        </w:tc>
      </w:tr>
      <w:tr w:rsidR="00D13A17" w:rsidRPr="00A33752" w:rsidTr="003D7E44">
        <w:trPr>
          <w:trHeight w:val="70"/>
        </w:trPr>
        <w:tc>
          <w:tcPr>
            <w:tcW w:w="1737" w:type="pct"/>
            <w:tcBorders>
              <w:top w:val="nil"/>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Grand Total</w:t>
            </w:r>
          </w:p>
        </w:tc>
        <w:tc>
          <w:tcPr>
            <w:tcW w:w="2058" w:type="pct"/>
            <w:tcBorders>
              <w:top w:val="nil"/>
              <w:left w:val="nil"/>
              <w:bottom w:val="single" w:sz="4" w:space="0" w:color="auto"/>
              <w:right w:val="nil"/>
            </w:tcBorders>
            <w:shd w:val="clear" w:color="000000" w:fill="FFFFFF"/>
            <w:vAlign w:val="center"/>
            <w:hideMark/>
          </w:tcPr>
          <w:p w:rsidR="00D13A17" w:rsidRPr="00A33752" w:rsidRDefault="00D13A17" w:rsidP="00D13A17">
            <w:pPr>
              <w:keepLines w:val="0"/>
              <w:spacing w:after="0"/>
              <w:jc w:val="left"/>
              <w:rPr>
                <w:rFonts w:ascii="Times New Roman" w:eastAsia="Times New Roman" w:hAnsi="Times New Roman"/>
                <w:b/>
                <w:bCs/>
                <w:sz w:val="18"/>
                <w:szCs w:val="18"/>
              </w:rPr>
            </w:pPr>
            <w:r w:rsidRPr="00A33752">
              <w:rPr>
                <w:rFonts w:ascii="Times New Roman" w:eastAsia="Times New Roman" w:hAnsi="Times New Roman"/>
                <w:b/>
                <w:bCs/>
                <w:sz w:val="18"/>
                <w:szCs w:val="18"/>
              </w:rPr>
              <w:t> </w:t>
            </w:r>
          </w:p>
        </w:tc>
        <w:tc>
          <w:tcPr>
            <w:tcW w:w="603" w:type="pct"/>
            <w:tcBorders>
              <w:top w:val="nil"/>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28,684,812</w:t>
            </w:r>
          </w:p>
        </w:tc>
        <w:tc>
          <w:tcPr>
            <w:tcW w:w="602" w:type="pct"/>
            <w:tcBorders>
              <w:top w:val="nil"/>
              <w:left w:val="nil"/>
              <w:bottom w:val="single" w:sz="4" w:space="0" w:color="auto"/>
              <w:right w:val="nil"/>
            </w:tcBorders>
            <w:shd w:val="clear" w:color="000000" w:fill="FFFFFF"/>
            <w:noWrap/>
            <w:vAlign w:val="center"/>
            <w:hideMark/>
          </w:tcPr>
          <w:p w:rsidR="00D13A17" w:rsidRPr="00A33752" w:rsidRDefault="00D13A17" w:rsidP="00D13A17">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32,350,098</w:t>
            </w:r>
          </w:p>
        </w:tc>
      </w:tr>
    </w:tbl>
    <w:p w:rsidR="00D13A17" w:rsidRPr="00270D09" w:rsidRDefault="00D13A17" w:rsidP="00D13A17">
      <w:pPr>
        <w:pStyle w:val="S4Paragraph"/>
        <w:widowControl w:val="0"/>
        <w:numPr>
          <w:ilvl w:val="0"/>
          <w:numId w:val="0"/>
        </w:numPr>
        <w:spacing w:after="120"/>
        <w:rPr>
          <w:sz w:val="24"/>
        </w:rPr>
      </w:pPr>
    </w:p>
    <w:p w:rsidR="00FF1B6B"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Schedule 3</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Cook Islands Capital Spending</w:t>
      </w:r>
    </w:p>
    <w:tbl>
      <w:tblPr>
        <w:tblW w:w="5048" w:type="pct"/>
        <w:tblLook w:val="04A0" w:firstRow="1" w:lastRow="0" w:firstColumn="1" w:lastColumn="0" w:noHBand="0" w:noVBand="1"/>
      </w:tblPr>
      <w:tblGrid>
        <w:gridCol w:w="5617"/>
        <w:gridCol w:w="1890"/>
        <w:gridCol w:w="1943"/>
      </w:tblGrid>
      <w:tr w:rsidR="009840A6" w:rsidRPr="00A33752" w:rsidTr="009840A6">
        <w:trPr>
          <w:trHeight w:val="342"/>
        </w:trPr>
        <w:tc>
          <w:tcPr>
            <w:tcW w:w="2972" w:type="pct"/>
            <w:tcBorders>
              <w:top w:val="single" w:sz="8" w:space="0" w:color="auto"/>
              <w:left w:val="nil"/>
              <w:bottom w:val="single" w:sz="8" w:space="0" w:color="auto"/>
              <w:right w:val="nil"/>
            </w:tcBorders>
            <w:shd w:val="clear" w:color="000000" w:fill="FFFFFF"/>
            <w:noWrap/>
            <w:vAlign w:val="center"/>
            <w:hideMark/>
          </w:tcPr>
          <w:p w:rsidR="009840A6" w:rsidRPr="00A33752" w:rsidRDefault="009840A6" w:rsidP="009840A6">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1000"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2021/22 Budget Estimate</w:t>
            </w:r>
          </w:p>
        </w:tc>
        <w:tc>
          <w:tcPr>
            <w:tcW w:w="1028"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sz w:val="18"/>
                <w:szCs w:val="18"/>
              </w:rPr>
            </w:pPr>
            <w:r w:rsidRPr="00A33752">
              <w:rPr>
                <w:rFonts w:ascii="Times New Roman" w:eastAsia="Times New Roman" w:hAnsi="Times New Roman"/>
                <w:b/>
                <w:bCs/>
                <w:sz w:val="18"/>
                <w:szCs w:val="18"/>
              </w:rPr>
              <w:t>2022/23 Budget Estimate</w:t>
            </w:r>
          </w:p>
        </w:tc>
      </w:tr>
      <w:tr w:rsidR="00D012CF" w:rsidRPr="00A33752" w:rsidTr="009840A6">
        <w:trPr>
          <w:trHeight w:val="207"/>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Cook Islands Government Capital programs</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32,001,262</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34,159,912</w:t>
            </w:r>
          </w:p>
        </w:tc>
      </w:tr>
      <w:tr w:rsidR="00D012CF" w:rsidRPr="00A33752" w:rsidTr="009840A6">
        <w:trPr>
          <w:trHeight w:val="217"/>
        </w:trPr>
        <w:tc>
          <w:tcPr>
            <w:tcW w:w="2972"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Capital spending</w:t>
            </w:r>
          </w:p>
        </w:tc>
        <w:tc>
          <w:tcPr>
            <w:tcW w:w="1000"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32,001,262</w:t>
            </w:r>
          </w:p>
        </w:tc>
        <w:tc>
          <w:tcPr>
            <w:tcW w:w="1028"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34,159,912</w:t>
            </w:r>
          </w:p>
        </w:tc>
      </w:tr>
    </w:tbl>
    <w:p w:rsidR="009840A6" w:rsidRPr="00270D09" w:rsidRDefault="009840A6" w:rsidP="00E63521">
      <w:pPr>
        <w:keepNext/>
        <w:spacing w:after="0"/>
        <w:jc w:val="center"/>
        <w:rPr>
          <w:rFonts w:ascii="Times New Roman" w:hAnsi="Times New Roman"/>
          <w:b/>
          <w:sz w:val="24"/>
          <w:szCs w:val="24"/>
        </w:rPr>
      </w:pPr>
      <w:r w:rsidRPr="00270D09">
        <w:rPr>
          <w:rFonts w:ascii="Times New Roman" w:hAnsi="Times New Roman"/>
          <w:b/>
          <w:sz w:val="24"/>
          <w:szCs w:val="24"/>
        </w:rPr>
        <w:lastRenderedPageBreak/>
        <w:t>Schedule 4</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Official Development Assistance</w:t>
      </w:r>
      <w:r w:rsidRPr="00270D09">
        <w:rPr>
          <w:rStyle w:val="FootnoteReference"/>
          <w:rFonts w:ascii="Times New Roman" w:hAnsi="Times New Roman"/>
          <w:b/>
          <w:sz w:val="24"/>
          <w:szCs w:val="24"/>
        </w:rPr>
        <w:footnoteReference w:id="1"/>
      </w:r>
    </w:p>
    <w:tbl>
      <w:tblPr>
        <w:tblW w:w="5032" w:type="pct"/>
        <w:tblLook w:val="04A0" w:firstRow="1" w:lastRow="0" w:firstColumn="1" w:lastColumn="0" w:noHBand="0" w:noVBand="1"/>
      </w:tblPr>
      <w:tblGrid>
        <w:gridCol w:w="5599"/>
        <w:gridCol w:w="1884"/>
        <w:gridCol w:w="1937"/>
      </w:tblGrid>
      <w:tr w:rsidR="009840A6" w:rsidRPr="00A33752" w:rsidTr="009840A6">
        <w:trPr>
          <w:trHeight w:val="363"/>
        </w:trPr>
        <w:tc>
          <w:tcPr>
            <w:tcW w:w="2972" w:type="pct"/>
            <w:tcBorders>
              <w:top w:val="single" w:sz="8" w:space="0" w:color="auto"/>
              <w:left w:val="nil"/>
              <w:bottom w:val="single" w:sz="8" w:space="0" w:color="auto"/>
              <w:right w:val="nil"/>
            </w:tcBorders>
            <w:shd w:val="clear" w:color="000000" w:fill="FFFFFF"/>
            <w:noWrap/>
            <w:vAlign w:val="center"/>
            <w:hideMark/>
          </w:tcPr>
          <w:p w:rsidR="009840A6" w:rsidRPr="00A33752" w:rsidRDefault="009840A6" w:rsidP="009840A6">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 </w:t>
            </w:r>
          </w:p>
        </w:tc>
        <w:tc>
          <w:tcPr>
            <w:tcW w:w="1000"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2021/22 Budget Estimate</w:t>
            </w:r>
          </w:p>
        </w:tc>
        <w:tc>
          <w:tcPr>
            <w:tcW w:w="1028"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2022/23 Budget Estimate</w:t>
            </w:r>
          </w:p>
        </w:tc>
      </w:tr>
      <w:tr w:rsidR="00D012CF" w:rsidRPr="00A33752" w:rsidTr="009840A6">
        <w:trPr>
          <w:trHeight w:val="220"/>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Operating or recurrent expenditure</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25,340,981</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26,304,809</w:t>
            </w:r>
          </w:p>
        </w:tc>
      </w:tr>
      <w:tr w:rsidR="00D012CF" w:rsidRPr="00A33752" w:rsidTr="009840A6">
        <w:trPr>
          <w:trHeight w:val="220"/>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Capital Project Expenditure</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28,473,479</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65,147,594</w:t>
            </w:r>
          </w:p>
        </w:tc>
      </w:tr>
      <w:tr w:rsidR="00D012CF" w:rsidRPr="00A33752" w:rsidTr="009840A6">
        <w:trPr>
          <w:trHeight w:val="231"/>
        </w:trPr>
        <w:tc>
          <w:tcPr>
            <w:tcW w:w="2972"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Official Development Assistance</w:t>
            </w:r>
          </w:p>
        </w:tc>
        <w:tc>
          <w:tcPr>
            <w:tcW w:w="1000"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53,814,460</w:t>
            </w:r>
          </w:p>
        </w:tc>
        <w:tc>
          <w:tcPr>
            <w:tcW w:w="1028"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91,452,403</w:t>
            </w:r>
          </w:p>
        </w:tc>
      </w:tr>
    </w:tbl>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 xml:space="preserve"> </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Schedule 5a</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Other Expenses and Financing Transactions</w:t>
      </w:r>
    </w:p>
    <w:tbl>
      <w:tblPr>
        <w:tblW w:w="5007" w:type="pct"/>
        <w:tblLook w:val="04A0" w:firstRow="1" w:lastRow="0" w:firstColumn="1" w:lastColumn="0" w:noHBand="0" w:noVBand="1"/>
      </w:tblPr>
      <w:tblGrid>
        <w:gridCol w:w="5571"/>
        <w:gridCol w:w="1875"/>
        <w:gridCol w:w="1927"/>
      </w:tblGrid>
      <w:tr w:rsidR="009840A6" w:rsidRPr="00A33752" w:rsidTr="009840A6">
        <w:trPr>
          <w:trHeight w:val="404"/>
        </w:trPr>
        <w:tc>
          <w:tcPr>
            <w:tcW w:w="2972" w:type="pct"/>
            <w:tcBorders>
              <w:top w:val="single" w:sz="8" w:space="0" w:color="auto"/>
              <w:left w:val="nil"/>
              <w:bottom w:val="single" w:sz="8" w:space="0" w:color="auto"/>
              <w:right w:val="nil"/>
            </w:tcBorders>
            <w:shd w:val="clear" w:color="000000" w:fill="FFFFFF"/>
            <w:noWrap/>
            <w:vAlign w:val="center"/>
            <w:hideMark/>
          </w:tcPr>
          <w:p w:rsidR="009840A6" w:rsidRPr="00A33752" w:rsidRDefault="009840A6" w:rsidP="009840A6">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Category of Expense</w:t>
            </w:r>
          </w:p>
        </w:tc>
        <w:tc>
          <w:tcPr>
            <w:tcW w:w="1000"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2021/22 Budget Estimate</w:t>
            </w:r>
          </w:p>
        </w:tc>
        <w:tc>
          <w:tcPr>
            <w:tcW w:w="1028"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2022/23 Budget Estimate</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Contingency Funds - Operating</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100,000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100,000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Crown Infrastructure Depreciation</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4,603,000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4,603,000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Provisional for Doubtful Debts</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Transfer to Emergency Response Trust Fund</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50,000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50,000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Advanced Subsidiaries - Avaroa Cable Ltd</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Transfer to Reserve Trust Fund</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0</w:t>
            </w:r>
          </w:p>
        </w:tc>
      </w:tr>
      <w:tr w:rsidR="00D012CF" w:rsidRPr="00A33752" w:rsidTr="009840A6">
        <w:trPr>
          <w:trHeight w:val="245"/>
        </w:trPr>
        <w:tc>
          <w:tcPr>
            <w:tcW w:w="2972"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Depreciation Contingency Fund</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2,174,000</w:t>
            </w:r>
          </w:p>
        </w:tc>
        <w:tc>
          <w:tcPr>
            <w:tcW w:w="1028"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2,174,000</w:t>
            </w:r>
          </w:p>
        </w:tc>
      </w:tr>
      <w:tr w:rsidR="00D012CF" w:rsidRPr="00A33752" w:rsidTr="009840A6">
        <w:trPr>
          <w:trHeight w:val="257"/>
        </w:trPr>
        <w:tc>
          <w:tcPr>
            <w:tcW w:w="2972"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Other Expenses</w:t>
            </w:r>
          </w:p>
        </w:tc>
        <w:tc>
          <w:tcPr>
            <w:tcW w:w="1000"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6,927,000</w:t>
            </w:r>
          </w:p>
        </w:tc>
        <w:tc>
          <w:tcPr>
            <w:tcW w:w="1028"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6,927,000</w:t>
            </w:r>
          </w:p>
        </w:tc>
      </w:tr>
    </w:tbl>
    <w:p w:rsidR="009840A6" w:rsidRPr="00270D09" w:rsidRDefault="009840A6" w:rsidP="009840A6">
      <w:pPr>
        <w:spacing w:after="0"/>
        <w:jc w:val="center"/>
        <w:rPr>
          <w:rFonts w:ascii="Times New Roman" w:hAnsi="Times New Roman"/>
          <w:b/>
          <w:sz w:val="24"/>
          <w:szCs w:val="24"/>
        </w:rPr>
      </w:pP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Schedule 5b</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Loan Repayment Fund Appropriations</w:t>
      </w:r>
    </w:p>
    <w:tbl>
      <w:tblPr>
        <w:tblW w:w="4991" w:type="pct"/>
        <w:tblLook w:val="04A0" w:firstRow="1" w:lastRow="0" w:firstColumn="1" w:lastColumn="0" w:noHBand="0" w:noVBand="1"/>
      </w:tblPr>
      <w:tblGrid>
        <w:gridCol w:w="5555"/>
        <w:gridCol w:w="1869"/>
        <w:gridCol w:w="1919"/>
      </w:tblGrid>
      <w:tr w:rsidR="009840A6" w:rsidRPr="00A33752" w:rsidTr="00D012CF">
        <w:trPr>
          <w:trHeight w:val="363"/>
        </w:trPr>
        <w:tc>
          <w:tcPr>
            <w:tcW w:w="2973" w:type="pct"/>
            <w:tcBorders>
              <w:top w:val="single" w:sz="8" w:space="0" w:color="auto"/>
              <w:left w:val="nil"/>
              <w:bottom w:val="single" w:sz="8" w:space="0" w:color="auto"/>
              <w:right w:val="nil"/>
            </w:tcBorders>
            <w:shd w:val="clear" w:color="000000" w:fill="FFFFFF"/>
            <w:noWrap/>
            <w:vAlign w:val="center"/>
            <w:hideMark/>
          </w:tcPr>
          <w:p w:rsidR="009840A6" w:rsidRPr="00A33752" w:rsidRDefault="009840A6" w:rsidP="009840A6">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Category of Appropriation</w:t>
            </w:r>
          </w:p>
        </w:tc>
        <w:tc>
          <w:tcPr>
            <w:tcW w:w="1000"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2021/22 Budget Estimate</w:t>
            </w:r>
          </w:p>
        </w:tc>
        <w:tc>
          <w:tcPr>
            <w:tcW w:w="1027"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2022/23 Budget Estimate</w:t>
            </w:r>
          </w:p>
        </w:tc>
      </w:tr>
      <w:tr w:rsidR="00D012CF" w:rsidRPr="00A33752" w:rsidTr="00D012CF">
        <w:trPr>
          <w:trHeight w:val="220"/>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Contribution to LRF - Principal</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8,860,401</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7,737,276</w:t>
            </w:r>
          </w:p>
        </w:tc>
      </w:tr>
      <w:tr w:rsidR="00D012CF" w:rsidRPr="00A33752" w:rsidTr="00D012CF">
        <w:trPr>
          <w:trHeight w:val="220"/>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Contribution to LRF - Interest</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4,051,495</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6,780,007</w:t>
            </w:r>
          </w:p>
        </w:tc>
      </w:tr>
      <w:tr w:rsidR="00D012CF" w:rsidRPr="00A33752" w:rsidTr="00D012CF">
        <w:trPr>
          <w:trHeight w:val="231"/>
        </w:trPr>
        <w:tc>
          <w:tcPr>
            <w:tcW w:w="2973"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Contribution to LRF</w:t>
            </w:r>
          </w:p>
        </w:tc>
        <w:tc>
          <w:tcPr>
            <w:tcW w:w="1000"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12,911,896</w:t>
            </w:r>
          </w:p>
        </w:tc>
        <w:tc>
          <w:tcPr>
            <w:tcW w:w="1027"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14,517,283</w:t>
            </w:r>
          </w:p>
        </w:tc>
      </w:tr>
    </w:tbl>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 xml:space="preserve"> </w:t>
      </w:r>
    </w:p>
    <w:p w:rsidR="009840A6" w:rsidRPr="00270D09" w:rsidRDefault="009840A6" w:rsidP="009840A6">
      <w:pPr>
        <w:spacing w:after="0"/>
        <w:jc w:val="center"/>
        <w:rPr>
          <w:rFonts w:ascii="Times New Roman" w:hAnsi="Times New Roman"/>
          <w:b/>
          <w:sz w:val="24"/>
          <w:szCs w:val="24"/>
        </w:rPr>
      </w:pPr>
      <w:r w:rsidRPr="00270D09">
        <w:rPr>
          <w:rFonts w:ascii="Times New Roman" w:hAnsi="Times New Roman"/>
          <w:b/>
          <w:sz w:val="24"/>
          <w:szCs w:val="24"/>
        </w:rPr>
        <w:t>Summary</w:t>
      </w:r>
    </w:p>
    <w:tbl>
      <w:tblPr>
        <w:tblW w:w="4991" w:type="pct"/>
        <w:tblLook w:val="04A0" w:firstRow="1" w:lastRow="0" w:firstColumn="1" w:lastColumn="0" w:noHBand="0" w:noVBand="1"/>
      </w:tblPr>
      <w:tblGrid>
        <w:gridCol w:w="5555"/>
        <w:gridCol w:w="1869"/>
        <w:gridCol w:w="1919"/>
      </w:tblGrid>
      <w:tr w:rsidR="009840A6" w:rsidRPr="00A33752" w:rsidTr="002A3465">
        <w:trPr>
          <w:trHeight w:val="400"/>
        </w:trPr>
        <w:tc>
          <w:tcPr>
            <w:tcW w:w="2973" w:type="pct"/>
            <w:tcBorders>
              <w:top w:val="single" w:sz="8" w:space="0" w:color="auto"/>
              <w:left w:val="nil"/>
              <w:bottom w:val="single" w:sz="8" w:space="0" w:color="auto"/>
              <w:right w:val="nil"/>
            </w:tcBorders>
            <w:shd w:val="clear" w:color="000000" w:fill="FFFFFF"/>
            <w:noWrap/>
            <w:vAlign w:val="center"/>
            <w:hideMark/>
          </w:tcPr>
          <w:p w:rsidR="009840A6" w:rsidRPr="00A33752" w:rsidRDefault="009840A6" w:rsidP="009840A6">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Category of Payment</w:t>
            </w:r>
          </w:p>
        </w:tc>
        <w:tc>
          <w:tcPr>
            <w:tcW w:w="1000"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2021/22 Budget Estimate</w:t>
            </w:r>
          </w:p>
        </w:tc>
        <w:tc>
          <w:tcPr>
            <w:tcW w:w="1027" w:type="pct"/>
            <w:tcBorders>
              <w:top w:val="single" w:sz="8" w:space="0" w:color="auto"/>
              <w:left w:val="nil"/>
              <w:bottom w:val="single" w:sz="8" w:space="0" w:color="auto"/>
              <w:right w:val="nil"/>
            </w:tcBorders>
            <w:shd w:val="clear" w:color="000000" w:fill="FFFFFF"/>
            <w:vAlign w:val="center"/>
            <w:hideMark/>
          </w:tcPr>
          <w:p w:rsidR="009840A6" w:rsidRPr="00A33752" w:rsidRDefault="009840A6" w:rsidP="009840A6">
            <w:pPr>
              <w:keepLines w:val="0"/>
              <w:spacing w:after="0"/>
              <w:jc w:val="righ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2022/23 Budget Estimate</w:t>
            </w:r>
          </w:p>
        </w:tc>
      </w:tr>
      <w:tr w:rsidR="00D012CF" w:rsidRPr="00A33752" w:rsidTr="002A3465">
        <w:trPr>
          <w:trHeight w:val="242"/>
        </w:trPr>
        <w:tc>
          <w:tcPr>
            <w:tcW w:w="2973" w:type="pct"/>
            <w:tcBorders>
              <w:top w:val="nil"/>
              <w:left w:val="nil"/>
              <w:bottom w:val="nil"/>
              <w:right w:val="nil"/>
            </w:tcBorders>
            <w:shd w:val="clear" w:color="000000" w:fill="FFFFFF"/>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1 - Ministry Outputs (Gross Operating)</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right"/>
              <w:rPr>
                <w:rFonts w:ascii="Times New Roman" w:eastAsia="Times New Roman" w:hAnsi="Times New Roman"/>
                <w:color w:val="000000"/>
                <w:sz w:val="18"/>
                <w:szCs w:val="18"/>
              </w:rPr>
            </w:pPr>
            <w:r w:rsidRPr="00A33752">
              <w:rPr>
                <w:rFonts w:ascii="Times New Roman" w:hAnsi="Times New Roman"/>
                <w:color w:val="000000"/>
                <w:sz w:val="18"/>
                <w:szCs w:val="18"/>
              </w:rPr>
              <w:t>165,710,315</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140,985,551</w:t>
            </w:r>
          </w:p>
        </w:tc>
      </w:tr>
      <w:tr w:rsidR="00D012CF" w:rsidRPr="00A33752" w:rsidTr="002A3465">
        <w:trPr>
          <w:trHeight w:val="242"/>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2 - POBOCs</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28,684,812</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32,350,098</w:t>
            </w:r>
          </w:p>
        </w:tc>
      </w:tr>
      <w:tr w:rsidR="00D012CF" w:rsidRPr="00A33752" w:rsidTr="002A3465">
        <w:trPr>
          <w:trHeight w:val="242"/>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3 - CIG Capital Expenditure</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32,001,262</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34,159,912</w:t>
            </w:r>
          </w:p>
        </w:tc>
      </w:tr>
      <w:tr w:rsidR="00D012CF" w:rsidRPr="00A33752" w:rsidTr="002A3465">
        <w:trPr>
          <w:trHeight w:val="242"/>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4 - Official Development Assistance</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53,814,460</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91,452,403</w:t>
            </w:r>
          </w:p>
        </w:tc>
      </w:tr>
      <w:tr w:rsidR="00D012CF" w:rsidRPr="00A33752" w:rsidTr="002A3465">
        <w:trPr>
          <w:trHeight w:val="242"/>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5a - Other Expenses and Financing Transactions</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6,927,000</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6,927,000</w:t>
            </w:r>
          </w:p>
        </w:tc>
      </w:tr>
      <w:tr w:rsidR="00D012CF" w:rsidRPr="00A33752" w:rsidTr="002A3465">
        <w:trPr>
          <w:trHeight w:val="242"/>
        </w:trPr>
        <w:tc>
          <w:tcPr>
            <w:tcW w:w="2973" w:type="pct"/>
            <w:tcBorders>
              <w:top w:val="nil"/>
              <w:left w:val="nil"/>
              <w:bottom w:val="nil"/>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color w:val="000000"/>
                <w:sz w:val="18"/>
                <w:szCs w:val="18"/>
              </w:rPr>
            </w:pPr>
            <w:r w:rsidRPr="00A33752">
              <w:rPr>
                <w:rFonts w:ascii="Times New Roman" w:eastAsia="Times New Roman" w:hAnsi="Times New Roman"/>
                <w:color w:val="000000"/>
                <w:sz w:val="18"/>
                <w:szCs w:val="18"/>
              </w:rPr>
              <w:t>Schedule 5b - Loan Reserve Fund Appropriations</w:t>
            </w:r>
          </w:p>
        </w:tc>
        <w:tc>
          <w:tcPr>
            <w:tcW w:w="1000"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12,911,896</w:t>
            </w:r>
          </w:p>
        </w:tc>
        <w:tc>
          <w:tcPr>
            <w:tcW w:w="1027" w:type="pct"/>
            <w:tcBorders>
              <w:top w:val="nil"/>
              <w:left w:val="nil"/>
              <w:bottom w:val="nil"/>
              <w:right w:val="nil"/>
            </w:tcBorders>
            <w:shd w:val="clear" w:color="000000" w:fill="FFFFFF"/>
            <w:noWrap/>
            <w:vAlign w:val="center"/>
            <w:hideMark/>
          </w:tcPr>
          <w:p w:rsidR="00D012CF" w:rsidRPr="00A33752" w:rsidRDefault="00D012CF" w:rsidP="00D012CF">
            <w:pPr>
              <w:spacing w:after="0"/>
              <w:jc w:val="right"/>
              <w:rPr>
                <w:rFonts w:ascii="Times New Roman" w:hAnsi="Times New Roman"/>
                <w:color w:val="000000"/>
                <w:sz w:val="18"/>
                <w:szCs w:val="18"/>
              </w:rPr>
            </w:pPr>
            <w:r w:rsidRPr="00A33752">
              <w:rPr>
                <w:rFonts w:ascii="Times New Roman" w:hAnsi="Times New Roman"/>
                <w:color w:val="000000"/>
                <w:sz w:val="18"/>
                <w:szCs w:val="18"/>
              </w:rPr>
              <w:t>14,517,283</w:t>
            </w:r>
          </w:p>
        </w:tc>
      </w:tr>
      <w:tr w:rsidR="00D012CF" w:rsidRPr="00A33752" w:rsidTr="002A3465">
        <w:trPr>
          <w:trHeight w:val="254"/>
        </w:trPr>
        <w:tc>
          <w:tcPr>
            <w:tcW w:w="2973"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keepLines w:val="0"/>
              <w:spacing w:after="0"/>
              <w:jc w:val="left"/>
              <w:rPr>
                <w:rFonts w:ascii="Times New Roman" w:eastAsia="Times New Roman" w:hAnsi="Times New Roman"/>
                <w:b/>
                <w:bCs/>
                <w:color w:val="000000"/>
                <w:sz w:val="18"/>
                <w:szCs w:val="18"/>
              </w:rPr>
            </w:pPr>
            <w:r w:rsidRPr="00A33752">
              <w:rPr>
                <w:rFonts w:ascii="Times New Roman" w:eastAsia="Times New Roman" w:hAnsi="Times New Roman"/>
                <w:b/>
                <w:bCs/>
                <w:color w:val="000000"/>
                <w:sz w:val="18"/>
                <w:szCs w:val="18"/>
              </w:rPr>
              <w:t>TOTAL APPROPRIATION</w:t>
            </w:r>
          </w:p>
        </w:tc>
        <w:tc>
          <w:tcPr>
            <w:tcW w:w="1000"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300,049,745</w:t>
            </w:r>
          </w:p>
        </w:tc>
        <w:tc>
          <w:tcPr>
            <w:tcW w:w="1027" w:type="pct"/>
            <w:tcBorders>
              <w:top w:val="single" w:sz="4" w:space="0" w:color="auto"/>
              <w:left w:val="nil"/>
              <w:bottom w:val="single" w:sz="8" w:space="0" w:color="auto"/>
              <w:right w:val="nil"/>
            </w:tcBorders>
            <w:shd w:val="clear" w:color="000000" w:fill="FFFFFF"/>
            <w:noWrap/>
            <w:vAlign w:val="center"/>
            <w:hideMark/>
          </w:tcPr>
          <w:p w:rsidR="00D012CF" w:rsidRPr="00A33752" w:rsidRDefault="00D012CF" w:rsidP="00D012CF">
            <w:pPr>
              <w:spacing w:after="0"/>
              <w:jc w:val="right"/>
              <w:rPr>
                <w:rFonts w:ascii="Times New Roman" w:hAnsi="Times New Roman"/>
                <w:b/>
                <w:bCs/>
                <w:color w:val="000000"/>
                <w:sz w:val="18"/>
                <w:szCs w:val="18"/>
              </w:rPr>
            </w:pPr>
            <w:r w:rsidRPr="00A33752">
              <w:rPr>
                <w:rFonts w:ascii="Times New Roman" w:hAnsi="Times New Roman"/>
                <w:b/>
                <w:bCs/>
                <w:color w:val="000000"/>
                <w:sz w:val="18"/>
                <w:szCs w:val="18"/>
              </w:rPr>
              <w:t>320,392,247</w:t>
            </w:r>
          </w:p>
        </w:tc>
      </w:tr>
    </w:tbl>
    <w:p w:rsidR="009840A6" w:rsidRDefault="009840A6" w:rsidP="009840A6">
      <w:pPr>
        <w:spacing w:after="0"/>
        <w:jc w:val="center"/>
        <w:rPr>
          <w:rFonts w:ascii="Times New Roman" w:hAnsi="Times New Roman"/>
          <w:b/>
          <w:sz w:val="24"/>
          <w:szCs w:val="24"/>
        </w:rPr>
      </w:pPr>
    </w:p>
    <w:p w:rsidR="00E035A7" w:rsidRDefault="00E035A7" w:rsidP="009840A6">
      <w:pPr>
        <w:spacing w:after="0"/>
        <w:jc w:val="center"/>
        <w:rPr>
          <w:rFonts w:ascii="Times New Roman" w:hAnsi="Times New Roman"/>
          <w:b/>
          <w:sz w:val="24"/>
          <w:szCs w:val="24"/>
        </w:rPr>
      </w:pPr>
    </w:p>
    <w:p w:rsidR="00E035A7" w:rsidRPr="00270D09" w:rsidRDefault="00E035A7" w:rsidP="009840A6">
      <w:pPr>
        <w:spacing w:after="0"/>
        <w:jc w:val="center"/>
        <w:rPr>
          <w:rFonts w:ascii="Times New Roman" w:hAnsi="Times New Roman"/>
          <w:b/>
          <w:sz w:val="24"/>
          <w:szCs w:val="24"/>
        </w:rPr>
      </w:pPr>
    </w:p>
    <w:p w:rsidR="009840A6" w:rsidRPr="00270D09" w:rsidRDefault="009840A6" w:rsidP="00E035A7">
      <w:pPr>
        <w:spacing w:after="60"/>
        <w:jc w:val="center"/>
        <w:rPr>
          <w:rFonts w:ascii="Times New Roman" w:hAnsi="Times New Roman"/>
          <w:sz w:val="24"/>
          <w:szCs w:val="24"/>
          <w:lang w:val="en-NZ"/>
        </w:rPr>
      </w:pPr>
      <w:r w:rsidRPr="00270D09">
        <w:rPr>
          <w:rFonts w:ascii="Times New Roman" w:hAnsi="Times New Roman"/>
          <w:sz w:val="24"/>
          <w:szCs w:val="24"/>
          <w:lang w:val="en-NZ"/>
        </w:rPr>
        <w:t>_______________________________</w:t>
      </w:r>
    </w:p>
    <w:p w:rsidR="009840A6" w:rsidRPr="00E035A7" w:rsidRDefault="009840A6" w:rsidP="00E035A7">
      <w:pPr>
        <w:spacing w:before="120" w:after="0"/>
        <w:jc w:val="center"/>
        <w:rPr>
          <w:rFonts w:ascii="Times New Roman" w:hAnsi="Times New Roman"/>
          <w:szCs w:val="24"/>
          <w:lang w:val="en-NZ"/>
        </w:rPr>
      </w:pPr>
      <w:r w:rsidRPr="00E035A7">
        <w:rPr>
          <w:rFonts w:ascii="Times New Roman" w:hAnsi="Times New Roman"/>
          <w:szCs w:val="24"/>
          <w:lang w:val="en-NZ"/>
        </w:rPr>
        <w:t>This Act is administered by the Ministry of Finance and Economic Management.</w:t>
      </w:r>
    </w:p>
    <w:p w:rsidR="009840A6" w:rsidRPr="00E035A7" w:rsidRDefault="009840A6" w:rsidP="009840A6">
      <w:pPr>
        <w:spacing w:after="0"/>
        <w:jc w:val="center"/>
        <w:rPr>
          <w:rFonts w:ascii="Times New Roman" w:hAnsi="Times New Roman"/>
          <w:szCs w:val="24"/>
          <w:lang w:val="en-NZ"/>
        </w:rPr>
      </w:pPr>
      <w:r w:rsidRPr="00E035A7">
        <w:rPr>
          <w:rFonts w:ascii="Times New Roman" w:hAnsi="Times New Roman"/>
          <w:szCs w:val="24"/>
          <w:lang w:val="en-NZ"/>
        </w:rPr>
        <w:t>Printed under the authority of the Cook Islands Parliament—2022</w:t>
      </w:r>
    </w:p>
    <w:p w:rsidR="009840A6" w:rsidRPr="00270D09" w:rsidRDefault="009840A6" w:rsidP="009840A6">
      <w:pPr>
        <w:spacing w:after="0"/>
        <w:jc w:val="center"/>
        <w:rPr>
          <w:rFonts w:ascii="Times New Roman" w:hAnsi="Times New Roman"/>
          <w:sz w:val="24"/>
          <w:szCs w:val="24"/>
          <w:lang w:val="en-NZ" w:eastAsia="en-NZ"/>
        </w:rPr>
      </w:pPr>
      <w:r w:rsidRPr="00270D09">
        <w:rPr>
          <w:rFonts w:ascii="Times New Roman" w:hAnsi="Times New Roman"/>
          <w:sz w:val="24"/>
          <w:szCs w:val="24"/>
          <w:lang w:val="en-NZ"/>
        </w:rPr>
        <w:t>_______________________________</w:t>
      </w:r>
    </w:p>
    <w:p w:rsidR="009840A6" w:rsidRPr="00270D09" w:rsidRDefault="009840A6" w:rsidP="009840A6">
      <w:pPr>
        <w:spacing w:after="0"/>
        <w:jc w:val="center"/>
        <w:rPr>
          <w:rFonts w:ascii="Times New Roman" w:hAnsi="Times New Roman"/>
          <w:b/>
          <w:sz w:val="24"/>
        </w:rPr>
      </w:pPr>
    </w:p>
    <w:sectPr w:rsidR="009840A6" w:rsidRPr="00270D09" w:rsidSect="00D13A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09" w:rsidRDefault="00270D09" w:rsidP="009840A6">
      <w:pPr>
        <w:spacing w:after="0"/>
      </w:pPr>
      <w:r>
        <w:separator/>
      </w:r>
    </w:p>
  </w:endnote>
  <w:endnote w:type="continuationSeparator" w:id="0">
    <w:p w:rsidR="00270D09" w:rsidRDefault="00270D09" w:rsidP="00984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7486"/>
      <w:docPartObj>
        <w:docPartGallery w:val="Page Numbers (Bottom of Page)"/>
        <w:docPartUnique/>
      </w:docPartObj>
    </w:sdtPr>
    <w:sdtEndPr>
      <w:rPr>
        <w:rFonts w:ascii="Times New Roman" w:hAnsi="Times New Roman"/>
        <w:noProof/>
      </w:rPr>
    </w:sdtEndPr>
    <w:sdtContent>
      <w:p w:rsidR="00BC5997" w:rsidRPr="00BC5997" w:rsidRDefault="00BC5997">
        <w:pPr>
          <w:pStyle w:val="Footer"/>
          <w:rPr>
            <w:rFonts w:ascii="Times New Roman" w:hAnsi="Times New Roman"/>
          </w:rPr>
        </w:pPr>
        <w:r w:rsidRPr="00BC5997">
          <w:rPr>
            <w:rFonts w:ascii="Times New Roman" w:hAnsi="Times New Roman"/>
          </w:rPr>
          <w:fldChar w:fldCharType="begin"/>
        </w:r>
        <w:r w:rsidRPr="00BC5997">
          <w:rPr>
            <w:rFonts w:ascii="Times New Roman" w:hAnsi="Times New Roman"/>
          </w:rPr>
          <w:instrText xml:space="preserve"> PAGE   \* MERGEFORMAT </w:instrText>
        </w:r>
        <w:r w:rsidRPr="00BC5997">
          <w:rPr>
            <w:rFonts w:ascii="Times New Roman" w:hAnsi="Times New Roman"/>
          </w:rPr>
          <w:fldChar w:fldCharType="separate"/>
        </w:r>
        <w:r w:rsidR="00D2786C">
          <w:rPr>
            <w:rFonts w:ascii="Times New Roman" w:hAnsi="Times New Roman"/>
            <w:noProof/>
          </w:rPr>
          <w:t>4</w:t>
        </w:r>
        <w:r w:rsidRPr="00BC5997">
          <w:rPr>
            <w:rFonts w:ascii="Times New Roman" w:hAnsi="Times New Roman"/>
            <w:noProof/>
          </w:rPr>
          <w:fldChar w:fldCharType="end"/>
        </w:r>
      </w:p>
    </w:sdtContent>
  </w:sdt>
  <w:p w:rsidR="00BC5997" w:rsidRDefault="00BC59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486511"/>
      <w:docPartObj>
        <w:docPartGallery w:val="Page Numbers (Bottom of Page)"/>
        <w:docPartUnique/>
      </w:docPartObj>
    </w:sdtPr>
    <w:sdtEndPr>
      <w:rPr>
        <w:noProof/>
      </w:rPr>
    </w:sdtEndPr>
    <w:sdtContent>
      <w:p w:rsidR="00BC5997" w:rsidRDefault="00BC5997">
        <w:pPr>
          <w:pStyle w:val="Footer"/>
          <w:jc w:val="right"/>
        </w:pPr>
        <w:r>
          <w:fldChar w:fldCharType="begin"/>
        </w:r>
        <w:r>
          <w:instrText xml:space="preserve"> PAGE   \* MERGEFORMAT </w:instrText>
        </w:r>
        <w:r>
          <w:fldChar w:fldCharType="separate"/>
        </w:r>
        <w:r w:rsidR="00D2786C">
          <w:rPr>
            <w:noProof/>
          </w:rPr>
          <w:t>3</w:t>
        </w:r>
        <w:r>
          <w:rPr>
            <w:noProof/>
          </w:rPr>
          <w:fldChar w:fldCharType="end"/>
        </w:r>
      </w:p>
    </w:sdtContent>
  </w:sdt>
  <w:p w:rsidR="00270D09" w:rsidRDefault="00270D09">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3479"/>
      <w:docPartObj>
        <w:docPartGallery w:val="Page Numbers (Bottom of Page)"/>
        <w:docPartUnique/>
      </w:docPartObj>
    </w:sdtPr>
    <w:sdtEndPr>
      <w:rPr>
        <w:rFonts w:ascii="Times New Roman" w:hAnsi="Times New Roman"/>
        <w:noProof/>
      </w:rPr>
    </w:sdtEndPr>
    <w:sdtContent>
      <w:p w:rsidR="00BC5997" w:rsidRPr="00BC5997" w:rsidRDefault="00BC5997">
        <w:pPr>
          <w:pStyle w:val="Footer"/>
          <w:jc w:val="right"/>
          <w:rPr>
            <w:rFonts w:ascii="Times New Roman" w:hAnsi="Times New Roman"/>
          </w:rPr>
        </w:pPr>
        <w:r w:rsidRPr="00BC5997">
          <w:rPr>
            <w:rFonts w:ascii="Times New Roman" w:hAnsi="Times New Roman"/>
          </w:rPr>
          <w:fldChar w:fldCharType="begin"/>
        </w:r>
        <w:r w:rsidRPr="00BC5997">
          <w:rPr>
            <w:rFonts w:ascii="Times New Roman" w:hAnsi="Times New Roman"/>
          </w:rPr>
          <w:instrText xml:space="preserve"> PAGE   \* MERGEFORMAT </w:instrText>
        </w:r>
        <w:r w:rsidRPr="00BC5997">
          <w:rPr>
            <w:rFonts w:ascii="Times New Roman" w:hAnsi="Times New Roman"/>
          </w:rPr>
          <w:fldChar w:fldCharType="separate"/>
        </w:r>
        <w:r w:rsidR="00D2786C">
          <w:rPr>
            <w:rFonts w:ascii="Times New Roman" w:hAnsi="Times New Roman"/>
            <w:noProof/>
          </w:rPr>
          <w:t>1</w:t>
        </w:r>
        <w:r w:rsidRPr="00BC5997">
          <w:rPr>
            <w:rFonts w:ascii="Times New Roman" w:hAnsi="Times New Roman"/>
            <w:noProof/>
          </w:rPr>
          <w:fldChar w:fldCharType="end"/>
        </w:r>
      </w:p>
    </w:sdtContent>
  </w:sdt>
  <w:p w:rsidR="00BC5997" w:rsidRDefault="00BC59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09" w:rsidRDefault="00270D09" w:rsidP="009840A6">
      <w:pPr>
        <w:spacing w:after="0"/>
      </w:pPr>
      <w:r>
        <w:separator/>
      </w:r>
    </w:p>
  </w:footnote>
  <w:footnote w:type="continuationSeparator" w:id="0">
    <w:p w:rsidR="00270D09" w:rsidRDefault="00270D09" w:rsidP="009840A6">
      <w:pPr>
        <w:spacing w:after="0"/>
      </w:pPr>
      <w:r>
        <w:continuationSeparator/>
      </w:r>
    </w:p>
  </w:footnote>
  <w:footnote w:id="1">
    <w:p w:rsidR="00270D09" w:rsidRPr="00E035A7" w:rsidRDefault="00270D09" w:rsidP="009840A6">
      <w:pPr>
        <w:pStyle w:val="FootnoteText"/>
        <w:rPr>
          <w:rFonts w:ascii="Times New Roman" w:hAnsi="Times New Roman"/>
        </w:rPr>
      </w:pPr>
      <w:r w:rsidRPr="00E035A7">
        <w:rPr>
          <w:rStyle w:val="FootnoteReference"/>
          <w:rFonts w:ascii="Times New Roman" w:hAnsi="Times New Roman"/>
        </w:rPr>
        <w:footnoteRef/>
      </w:r>
      <w:r w:rsidRPr="00E035A7">
        <w:rPr>
          <w:rFonts w:ascii="Times New Roman" w:hAnsi="Times New Roman"/>
        </w:rPr>
        <w:t xml:space="preserve"> </w:t>
      </w:r>
      <w:r w:rsidRPr="00E035A7">
        <w:rPr>
          <w:rFonts w:ascii="Times New Roman" w:hAnsi="Times New Roman"/>
          <w:lang w:val="en-NZ"/>
        </w:rPr>
        <w:t>Excluding Budget Support and Core Sector Support appropriated through agencies in Schedule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97" w:rsidRPr="00BC5997" w:rsidRDefault="00BC5997" w:rsidP="00BC5997">
    <w:pPr>
      <w:pStyle w:val="Header"/>
      <w:jc w:val="center"/>
      <w:rPr>
        <w:rFonts w:ascii="Times New Roman" w:hAnsi="Times New Roman"/>
        <w:b/>
      </w:rPr>
    </w:pPr>
    <w:r w:rsidRPr="00BC5997">
      <w:rPr>
        <w:rFonts w:ascii="Times New Roman" w:hAnsi="Times New Roman"/>
        <w:b/>
      </w:rPr>
      <w:t>Appropriation Bill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97" w:rsidRPr="00BC5997" w:rsidRDefault="00BC5997" w:rsidP="00BC5997">
    <w:pPr>
      <w:pStyle w:val="Header"/>
      <w:jc w:val="center"/>
      <w:rPr>
        <w:rFonts w:ascii="Times New Roman" w:hAnsi="Times New Roman"/>
        <w:b/>
      </w:rPr>
    </w:pPr>
    <w:r>
      <w:rPr>
        <w:rFonts w:ascii="Times New Roman" w:hAnsi="Times New Roman"/>
        <w:b/>
      </w:rPr>
      <w:t>Appropriation Bill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40A60"/>
    <w:multiLevelType w:val="hybridMultilevel"/>
    <w:tmpl w:val="C534E0BC"/>
    <w:lvl w:ilvl="0" w:tplc="29B6A2F4">
      <w:start w:val="1"/>
      <w:numFmt w:val="bullet"/>
      <w:pStyle w:val="Bulletsoli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2727AE"/>
    <w:multiLevelType w:val="multilevel"/>
    <w:tmpl w:val="5FA8207A"/>
    <w:lvl w:ilvl="0">
      <w:start w:val="1"/>
      <w:numFmt w:val="decimal"/>
      <w:pStyle w:val="AppBill-numberedsection"/>
      <w:lvlText w:val="%1"/>
      <w:lvlJc w:val="left"/>
      <w:pPr>
        <w:tabs>
          <w:tab w:val="num" w:pos="720"/>
        </w:tabs>
        <w:ind w:left="720" w:hanging="720"/>
      </w:pPr>
      <w:rPr>
        <w:rFonts w:hint="default"/>
      </w:rPr>
    </w:lvl>
    <w:lvl w:ilvl="1">
      <w:start w:val="1"/>
      <w:numFmt w:val="decimal"/>
      <w:pStyle w:val="S3Numberedsubsection"/>
      <w:lvlText w:val="(%2)"/>
      <w:lvlJc w:val="left"/>
      <w:pPr>
        <w:tabs>
          <w:tab w:val="num" w:pos="720"/>
        </w:tabs>
        <w:ind w:left="720" w:hanging="720"/>
      </w:pPr>
      <w:rPr>
        <w:rFonts w:hint="default"/>
      </w:rPr>
    </w:lvl>
    <w:lvl w:ilvl="2">
      <w:start w:val="1"/>
      <w:numFmt w:val="lowerLetter"/>
      <w:pStyle w:val="S4Paragraph"/>
      <w:lvlText w:val="(%3)"/>
      <w:lvlJc w:val="left"/>
      <w:pPr>
        <w:tabs>
          <w:tab w:val="num" w:pos="1304"/>
        </w:tabs>
        <w:ind w:left="1304" w:hanging="584"/>
      </w:pPr>
      <w:rPr>
        <w:rFonts w:hint="default"/>
      </w:rPr>
    </w:lvl>
    <w:lvl w:ilvl="3">
      <w:start w:val="1"/>
      <w:numFmt w:val="lowerRoman"/>
      <w:lvlText w:val="(%4)"/>
      <w:lvlJc w:val="left"/>
      <w:pPr>
        <w:tabs>
          <w:tab w:val="num" w:pos="1814"/>
        </w:tabs>
        <w:ind w:left="1814" w:hanging="510"/>
      </w:pPr>
      <w:rPr>
        <w:rFonts w:hint="default"/>
      </w:rPr>
    </w:lvl>
    <w:lvl w:ilvl="4">
      <w:start w:val="1"/>
      <w:numFmt w:val="upperLetter"/>
      <w:lvlText w:val="(%5)"/>
      <w:lvlJc w:val="left"/>
      <w:pPr>
        <w:tabs>
          <w:tab w:val="num" w:pos="2438"/>
        </w:tabs>
        <w:ind w:left="2438" w:hanging="624"/>
      </w:pPr>
      <w:rPr>
        <w:rFonts w:hint="default"/>
      </w:rPr>
    </w:lvl>
    <w:lvl w:ilvl="5">
      <w:start w:val="1"/>
      <w:numFmt w:val="upperRoman"/>
      <w:lvlText w:val="(%6)"/>
      <w:lvlJc w:val="left"/>
      <w:pPr>
        <w:tabs>
          <w:tab w:val="num" w:pos="2948"/>
        </w:tabs>
        <w:ind w:left="2948" w:hanging="510"/>
      </w:pPr>
      <w:rPr>
        <w:rFonts w:hint="default"/>
      </w:rPr>
    </w:lvl>
    <w:lvl w:ilvl="6">
      <w:start w:val="1"/>
      <w:numFmt w:val="decimal"/>
      <w:lvlText w:val="“(%7)"/>
      <w:lvlJc w:val="left"/>
      <w:pPr>
        <w:tabs>
          <w:tab w:val="num" w:pos="720"/>
        </w:tabs>
        <w:ind w:left="1440" w:hanging="720"/>
      </w:pPr>
      <w:rPr>
        <w:rFonts w:hint="default"/>
      </w:rPr>
    </w:lvl>
    <w:lvl w:ilvl="7">
      <w:start w:val="1"/>
      <w:numFmt w:val="lowerLetter"/>
      <w:lvlText w:val="“(%8)"/>
      <w:lvlJc w:val="left"/>
      <w:pPr>
        <w:tabs>
          <w:tab w:val="num" w:pos="1440"/>
        </w:tabs>
        <w:ind w:left="2138" w:hanging="698"/>
      </w:pPr>
      <w:rPr>
        <w:rFonts w:hint="default"/>
      </w:rPr>
    </w:lvl>
    <w:lvl w:ilvl="8">
      <w:start w:val="1"/>
      <w:numFmt w:val="lowerRoman"/>
      <w:lvlText w:val="“(%9)"/>
      <w:lvlJc w:val="left"/>
      <w:pPr>
        <w:tabs>
          <w:tab w:val="num" w:pos="2138"/>
        </w:tabs>
        <w:ind w:left="2835" w:hanging="6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17"/>
    <w:rsid w:val="00004476"/>
    <w:rsid w:val="000077A9"/>
    <w:rsid w:val="00097263"/>
    <w:rsid w:val="00117440"/>
    <w:rsid w:val="00124337"/>
    <w:rsid w:val="00270D09"/>
    <w:rsid w:val="002A3465"/>
    <w:rsid w:val="003D7E44"/>
    <w:rsid w:val="006D1729"/>
    <w:rsid w:val="007D5715"/>
    <w:rsid w:val="00833324"/>
    <w:rsid w:val="008F11D9"/>
    <w:rsid w:val="009840A6"/>
    <w:rsid w:val="00A33752"/>
    <w:rsid w:val="00A35E97"/>
    <w:rsid w:val="00A85196"/>
    <w:rsid w:val="00A96660"/>
    <w:rsid w:val="00AC0530"/>
    <w:rsid w:val="00B35B3D"/>
    <w:rsid w:val="00BA0E73"/>
    <w:rsid w:val="00BC5997"/>
    <w:rsid w:val="00C836CA"/>
    <w:rsid w:val="00D012CF"/>
    <w:rsid w:val="00D13A17"/>
    <w:rsid w:val="00D2786C"/>
    <w:rsid w:val="00DB3C2A"/>
    <w:rsid w:val="00E035A7"/>
    <w:rsid w:val="00E63521"/>
    <w:rsid w:val="00E953D1"/>
    <w:rsid w:val="00FF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4A2D73-D66C-4524-9148-56F66572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13A17"/>
    <w:pPr>
      <w:keepLines/>
      <w:spacing w:after="12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1sttier">
    <w:name w:val="Title Page (1st tier)"/>
    <w:basedOn w:val="Normal"/>
    <w:qFormat/>
    <w:locked/>
    <w:rsid w:val="00D13A17"/>
    <w:pPr>
      <w:jc w:val="center"/>
    </w:pPr>
    <w:rPr>
      <w:rFonts w:ascii="Palatino Linotype" w:hAnsi="Palatino Linotype"/>
      <w:b/>
      <w:sz w:val="58"/>
      <w:szCs w:val="58"/>
      <w:lang w:val="en-NZ"/>
    </w:rPr>
  </w:style>
  <w:style w:type="paragraph" w:customStyle="1" w:styleId="TitlePage2ndtier">
    <w:name w:val="Title Page (2nd tier)"/>
    <w:basedOn w:val="Normal"/>
    <w:qFormat/>
    <w:locked/>
    <w:rsid w:val="00D13A17"/>
    <w:pPr>
      <w:jc w:val="center"/>
    </w:pPr>
    <w:rPr>
      <w:rFonts w:ascii="Palatino Linotype" w:hAnsi="Palatino Linotype"/>
      <w:b/>
      <w:sz w:val="38"/>
      <w:szCs w:val="38"/>
      <w:lang w:val="en-NZ"/>
    </w:rPr>
  </w:style>
  <w:style w:type="paragraph" w:customStyle="1" w:styleId="Nonindexedtitlecentred">
    <w:name w:val="Non indexed title (centred)"/>
    <w:basedOn w:val="Normal"/>
    <w:next w:val="Normal"/>
    <w:locked/>
    <w:rsid w:val="00D13A17"/>
    <w:pPr>
      <w:spacing w:after="0"/>
      <w:contextualSpacing/>
      <w:jc w:val="center"/>
    </w:pPr>
    <w:rPr>
      <w:b/>
      <w:sz w:val="24"/>
      <w:lang w:val="en-NZ"/>
    </w:rPr>
  </w:style>
  <w:style w:type="paragraph" w:customStyle="1" w:styleId="Nonindexedtitleleft">
    <w:name w:val="Non indexed title (left)"/>
    <w:basedOn w:val="Nonindexedtitlecentred"/>
    <w:autoRedefine/>
    <w:locked/>
    <w:rsid w:val="00270D09"/>
    <w:pPr>
      <w:keepNext/>
      <w:spacing w:after="240"/>
    </w:pPr>
    <w:rPr>
      <w:rFonts w:ascii="Times New Roman" w:hAnsi="Times New Roman"/>
    </w:rPr>
  </w:style>
  <w:style w:type="paragraph" w:customStyle="1" w:styleId="01-Membername">
    <w:name w:val="01 - Member name"/>
    <w:basedOn w:val="Normal"/>
    <w:next w:val="Normal"/>
    <w:semiHidden/>
    <w:locked/>
    <w:rsid w:val="00D13A17"/>
    <w:pPr>
      <w:spacing w:before="360" w:after="360"/>
      <w:jc w:val="center"/>
    </w:pPr>
    <w:rPr>
      <w:rFonts w:ascii="Times New Roman" w:eastAsia="Times New Roman" w:hAnsi="Times New Roman"/>
      <w:b/>
      <w:bCs/>
      <w:szCs w:val="24"/>
      <w:lang w:val="en-NZ" w:eastAsia="en-NZ"/>
    </w:rPr>
  </w:style>
  <w:style w:type="paragraph" w:customStyle="1" w:styleId="01APlaceholder">
    <w:name w:val="01A: Placeholder"/>
    <w:basedOn w:val="Normal"/>
    <w:next w:val="Normal"/>
    <w:semiHidden/>
    <w:locked/>
    <w:rsid w:val="00D13A17"/>
    <w:pPr>
      <w:spacing w:before="840" w:after="840"/>
      <w:jc w:val="center"/>
    </w:pPr>
    <w:rPr>
      <w:rFonts w:ascii="Times New Roman" w:eastAsia="Times New Roman" w:hAnsi="Times New Roman"/>
      <w:szCs w:val="24"/>
      <w:lang w:val="en-NZ" w:eastAsia="en-NZ"/>
    </w:rPr>
  </w:style>
  <w:style w:type="paragraph" w:customStyle="1" w:styleId="04-TOCEnd">
    <w:name w:val="04 - TOC End"/>
    <w:basedOn w:val="Normal"/>
    <w:next w:val="Normal"/>
    <w:semiHidden/>
    <w:locked/>
    <w:rsid w:val="00D13A17"/>
    <w:pPr>
      <w:spacing w:after="0"/>
    </w:pPr>
    <w:rPr>
      <w:rFonts w:ascii="Times New Roman" w:eastAsia="Times New Roman" w:hAnsi="Times New Roman"/>
      <w:szCs w:val="24"/>
      <w:lang w:val="en-NZ" w:eastAsia="en-NZ"/>
    </w:rPr>
  </w:style>
  <w:style w:type="table" w:styleId="TableGrid">
    <w:name w:val="Table Grid"/>
    <w:basedOn w:val="TableNormal"/>
    <w:uiPriority w:val="39"/>
    <w:rsid w:val="00D13A17"/>
    <w:pPr>
      <w:spacing w:after="0" w:line="240" w:lineRule="auto"/>
    </w:pPr>
    <w:rPr>
      <w:rFonts w:ascii="Calibri" w:eastAsia="Calibri" w:hAnsi="Calibri" w:cs="Times New Roman"/>
      <w:sz w:val="20"/>
      <w:szCs w:val="20"/>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Bill-numberedsection">
    <w:name w:val="App Bill - numbered section"/>
    <w:basedOn w:val="S3Numberedsubsection"/>
    <w:qFormat/>
    <w:locked/>
    <w:rsid w:val="00D13A17"/>
    <w:pPr>
      <w:widowControl w:val="0"/>
      <w:numPr>
        <w:ilvl w:val="0"/>
      </w:numPr>
      <w:spacing w:after="0"/>
    </w:pPr>
    <w:rPr>
      <w:b/>
    </w:rPr>
  </w:style>
  <w:style w:type="paragraph" w:customStyle="1" w:styleId="S3Numberedsubsection">
    <w:name w:val="S3: Numbered subsection"/>
    <w:basedOn w:val="Normal"/>
    <w:locked/>
    <w:rsid w:val="00D13A17"/>
    <w:pPr>
      <w:numPr>
        <w:ilvl w:val="1"/>
        <w:numId w:val="1"/>
      </w:numPr>
      <w:spacing w:after="60"/>
    </w:pPr>
    <w:rPr>
      <w:rFonts w:ascii="Times New Roman" w:eastAsia="Times New Roman" w:hAnsi="Times New Roman"/>
      <w:szCs w:val="24"/>
      <w:lang w:val="en-NZ" w:eastAsia="en-NZ"/>
    </w:rPr>
  </w:style>
  <w:style w:type="paragraph" w:customStyle="1" w:styleId="S4Paragraph">
    <w:name w:val="S4: Paragraph"/>
    <w:basedOn w:val="S3Numberedsubsection"/>
    <w:locked/>
    <w:rsid w:val="00D13A17"/>
    <w:pPr>
      <w:numPr>
        <w:ilvl w:val="2"/>
      </w:numPr>
    </w:pPr>
    <w:rPr>
      <w:iCs/>
    </w:rPr>
  </w:style>
  <w:style w:type="paragraph" w:customStyle="1" w:styleId="S1Sectionheading">
    <w:name w:val="S1: Section heading"/>
    <w:basedOn w:val="Normal"/>
    <w:next w:val="S3Numberedsubsection"/>
    <w:link w:val="S1SectionheadingChar"/>
    <w:locked/>
    <w:rsid w:val="00D13A17"/>
    <w:pPr>
      <w:keepNext/>
      <w:tabs>
        <w:tab w:val="num" w:pos="720"/>
      </w:tabs>
      <w:spacing w:before="240" w:after="0"/>
      <w:ind w:left="720" w:hanging="720"/>
    </w:pPr>
    <w:rPr>
      <w:rFonts w:ascii="Times New Roman" w:eastAsia="Times New Roman" w:hAnsi="Times New Roman"/>
      <w:b/>
      <w:sz w:val="24"/>
      <w:szCs w:val="24"/>
      <w:lang w:val="en-NZ" w:eastAsia="en-NZ"/>
    </w:rPr>
  </w:style>
  <w:style w:type="character" w:customStyle="1" w:styleId="S1SectionheadingChar">
    <w:name w:val="S1: Section heading Char"/>
    <w:basedOn w:val="DefaultParagraphFont"/>
    <w:link w:val="S1Sectionheading"/>
    <w:rsid w:val="00D13A17"/>
    <w:rPr>
      <w:rFonts w:ascii="Times New Roman" w:eastAsia="Times New Roman" w:hAnsi="Times New Roman" w:cs="Times New Roman"/>
      <w:b/>
      <w:sz w:val="24"/>
      <w:szCs w:val="24"/>
      <w:lang w:val="en-NZ" w:eastAsia="en-NZ"/>
    </w:rPr>
  </w:style>
  <w:style w:type="paragraph" w:styleId="FootnoteText">
    <w:name w:val="footnote text"/>
    <w:basedOn w:val="Normal"/>
    <w:link w:val="FootnoteTextChar"/>
    <w:uiPriority w:val="99"/>
    <w:semiHidden/>
    <w:unhideWhenUsed/>
    <w:rsid w:val="009840A6"/>
    <w:pPr>
      <w:spacing w:after="0"/>
    </w:pPr>
    <w:rPr>
      <w:sz w:val="20"/>
      <w:szCs w:val="20"/>
    </w:rPr>
  </w:style>
  <w:style w:type="character" w:customStyle="1" w:styleId="FootnoteTextChar">
    <w:name w:val="Footnote Text Char"/>
    <w:basedOn w:val="DefaultParagraphFont"/>
    <w:link w:val="FootnoteText"/>
    <w:uiPriority w:val="99"/>
    <w:semiHidden/>
    <w:rsid w:val="009840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840A6"/>
    <w:rPr>
      <w:vertAlign w:val="superscript"/>
    </w:rPr>
  </w:style>
  <w:style w:type="paragraph" w:customStyle="1" w:styleId="Bulletsolid">
    <w:name w:val="Bullet solid"/>
    <w:basedOn w:val="Normal"/>
    <w:link w:val="BulletsolidChar"/>
    <w:locked/>
    <w:rsid w:val="009840A6"/>
    <w:pPr>
      <w:numPr>
        <w:numId w:val="2"/>
      </w:numPr>
      <w:spacing w:after="0"/>
      <w:jc w:val="left"/>
    </w:pPr>
    <w:rPr>
      <w:color w:val="000000"/>
    </w:rPr>
  </w:style>
  <w:style w:type="character" w:customStyle="1" w:styleId="BulletsolidChar">
    <w:name w:val="Bullet solid Char"/>
    <w:basedOn w:val="DefaultParagraphFont"/>
    <w:link w:val="Bulletsolid"/>
    <w:rsid w:val="009840A6"/>
    <w:rPr>
      <w:rFonts w:ascii="Calibri" w:eastAsia="Calibri" w:hAnsi="Calibri" w:cs="Times New Roman"/>
      <w:color w:val="000000"/>
    </w:rPr>
  </w:style>
  <w:style w:type="paragraph" w:styleId="BalloonText">
    <w:name w:val="Balloon Text"/>
    <w:basedOn w:val="Normal"/>
    <w:link w:val="BalloonTextChar"/>
    <w:uiPriority w:val="99"/>
    <w:semiHidden/>
    <w:unhideWhenUsed/>
    <w:rsid w:val="00A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97"/>
    <w:rPr>
      <w:rFonts w:ascii="Segoe UI" w:eastAsia="Calibri" w:hAnsi="Segoe UI" w:cs="Segoe UI"/>
      <w:sz w:val="18"/>
      <w:szCs w:val="18"/>
    </w:rPr>
  </w:style>
  <w:style w:type="paragraph" w:styleId="Header">
    <w:name w:val="header"/>
    <w:basedOn w:val="Normal"/>
    <w:link w:val="HeaderChar"/>
    <w:uiPriority w:val="99"/>
    <w:unhideWhenUsed/>
    <w:rsid w:val="00BC5997"/>
    <w:pPr>
      <w:tabs>
        <w:tab w:val="center" w:pos="4680"/>
        <w:tab w:val="right" w:pos="9360"/>
      </w:tabs>
      <w:spacing w:after="0"/>
    </w:pPr>
  </w:style>
  <w:style w:type="character" w:customStyle="1" w:styleId="HeaderChar">
    <w:name w:val="Header Char"/>
    <w:basedOn w:val="DefaultParagraphFont"/>
    <w:link w:val="Header"/>
    <w:uiPriority w:val="99"/>
    <w:rsid w:val="00BC5997"/>
    <w:rPr>
      <w:rFonts w:ascii="Calibri" w:eastAsia="Calibri" w:hAnsi="Calibri" w:cs="Times New Roman"/>
    </w:rPr>
  </w:style>
  <w:style w:type="paragraph" w:styleId="Footer">
    <w:name w:val="footer"/>
    <w:basedOn w:val="Normal"/>
    <w:link w:val="FooterChar"/>
    <w:uiPriority w:val="99"/>
    <w:unhideWhenUsed/>
    <w:rsid w:val="00BC5997"/>
    <w:pPr>
      <w:tabs>
        <w:tab w:val="center" w:pos="4680"/>
        <w:tab w:val="right" w:pos="9360"/>
      </w:tabs>
      <w:spacing w:after="0"/>
    </w:pPr>
  </w:style>
  <w:style w:type="character" w:customStyle="1" w:styleId="FooterChar">
    <w:name w:val="Footer Char"/>
    <w:basedOn w:val="DefaultParagraphFont"/>
    <w:link w:val="Footer"/>
    <w:uiPriority w:val="99"/>
    <w:rsid w:val="00BC59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3985">
      <w:bodyDiv w:val="1"/>
      <w:marLeft w:val="0"/>
      <w:marRight w:val="0"/>
      <w:marTop w:val="0"/>
      <w:marBottom w:val="0"/>
      <w:divBdr>
        <w:top w:val="none" w:sz="0" w:space="0" w:color="auto"/>
        <w:left w:val="none" w:sz="0" w:space="0" w:color="auto"/>
        <w:bottom w:val="none" w:sz="0" w:space="0" w:color="auto"/>
        <w:right w:val="none" w:sz="0" w:space="0" w:color="auto"/>
      </w:divBdr>
    </w:div>
    <w:div w:id="74786123">
      <w:bodyDiv w:val="1"/>
      <w:marLeft w:val="0"/>
      <w:marRight w:val="0"/>
      <w:marTop w:val="0"/>
      <w:marBottom w:val="0"/>
      <w:divBdr>
        <w:top w:val="none" w:sz="0" w:space="0" w:color="auto"/>
        <w:left w:val="none" w:sz="0" w:space="0" w:color="auto"/>
        <w:bottom w:val="none" w:sz="0" w:space="0" w:color="auto"/>
        <w:right w:val="none" w:sz="0" w:space="0" w:color="auto"/>
      </w:divBdr>
    </w:div>
    <w:div w:id="389498671">
      <w:bodyDiv w:val="1"/>
      <w:marLeft w:val="0"/>
      <w:marRight w:val="0"/>
      <w:marTop w:val="0"/>
      <w:marBottom w:val="0"/>
      <w:divBdr>
        <w:top w:val="none" w:sz="0" w:space="0" w:color="auto"/>
        <w:left w:val="none" w:sz="0" w:space="0" w:color="auto"/>
        <w:bottom w:val="none" w:sz="0" w:space="0" w:color="auto"/>
        <w:right w:val="none" w:sz="0" w:space="0" w:color="auto"/>
      </w:divBdr>
    </w:div>
    <w:div w:id="706951203">
      <w:bodyDiv w:val="1"/>
      <w:marLeft w:val="0"/>
      <w:marRight w:val="0"/>
      <w:marTop w:val="0"/>
      <w:marBottom w:val="0"/>
      <w:divBdr>
        <w:top w:val="none" w:sz="0" w:space="0" w:color="auto"/>
        <w:left w:val="none" w:sz="0" w:space="0" w:color="auto"/>
        <w:bottom w:val="none" w:sz="0" w:space="0" w:color="auto"/>
        <w:right w:val="none" w:sz="0" w:space="0" w:color="auto"/>
      </w:divBdr>
    </w:div>
    <w:div w:id="1089741714">
      <w:bodyDiv w:val="1"/>
      <w:marLeft w:val="0"/>
      <w:marRight w:val="0"/>
      <w:marTop w:val="0"/>
      <w:marBottom w:val="0"/>
      <w:divBdr>
        <w:top w:val="none" w:sz="0" w:space="0" w:color="auto"/>
        <w:left w:val="none" w:sz="0" w:space="0" w:color="auto"/>
        <w:bottom w:val="none" w:sz="0" w:space="0" w:color="auto"/>
        <w:right w:val="none" w:sz="0" w:space="0" w:color="auto"/>
      </w:divBdr>
    </w:div>
    <w:div w:id="1346711444">
      <w:bodyDiv w:val="1"/>
      <w:marLeft w:val="0"/>
      <w:marRight w:val="0"/>
      <w:marTop w:val="0"/>
      <w:marBottom w:val="0"/>
      <w:divBdr>
        <w:top w:val="none" w:sz="0" w:space="0" w:color="auto"/>
        <w:left w:val="none" w:sz="0" w:space="0" w:color="auto"/>
        <w:bottom w:val="none" w:sz="0" w:space="0" w:color="auto"/>
        <w:right w:val="none" w:sz="0" w:space="0" w:color="auto"/>
      </w:divBdr>
    </w:div>
    <w:div w:id="1416823822">
      <w:bodyDiv w:val="1"/>
      <w:marLeft w:val="0"/>
      <w:marRight w:val="0"/>
      <w:marTop w:val="0"/>
      <w:marBottom w:val="0"/>
      <w:divBdr>
        <w:top w:val="none" w:sz="0" w:space="0" w:color="auto"/>
        <w:left w:val="none" w:sz="0" w:space="0" w:color="auto"/>
        <w:bottom w:val="none" w:sz="0" w:space="0" w:color="auto"/>
        <w:right w:val="none" w:sz="0" w:space="0" w:color="auto"/>
      </w:divBdr>
    </w:div>
    <w:div w:id="16316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71FD-2882-435C-9E60-A6F65640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Rufina Teulilo</dc:creator>
  <cp:keywords/>
  <dc:description/>
  <cp:lastModifiedBy>Vai Temata</cp:lastModifiedBy>
  <cp:revision>2</cp:revision>
  <dcterms:created xsi:type="dcterms:W3CDTF">2022-05-19T19:47:00Z</dcterms:created>
  <dcterms:modified xsi:type="dcterms:W3CDTF">2022-05-19T19:47:00Z</dcterms:modified>
</cp:coreProperties>
</file>